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t>附件2</w:t>
      </w:r>
    </w:p>
    <w:p>
      <w:pPr>
        <w:bidi w:val="0"/>
        <w:numPr>
          <w:ilvl w:val="0"/>
          <w:numId w:val="0"/>
        </w:numPr>
        <w:jc w:val="center"/>
        <w:spacing w:lineRule="exact" w:line="600" w:before="0" w:after="160"/>
        <w:pageBreakBefore w:val="0"/>
        <w:ind w:right="0" w:firstLine="0"/>
        <w:rPr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德阳市紧缺高素质党政后备人才需求目录</w:t>
      </w:r>
    </w:p>
    <w:tbl>
      <w:tblPr>
        <w:tblpPr w:leftFromText="180" w:rightFromText="180" w:vertAnchor="text" w:horzAnchor="page" w:tblpX="1349" w:tblpY="350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100" w:type="dxa"/>
        <w:tblLook w:val="000000" w:firstRow="0" w:lastRow="0" w:firstColumn="0" w:lastColumn="0" w:noHBand="0" w:noVBand="0"/>
        <w:tblLayout w:type="fixed"/>
      </w:tblPr>
      <w:tblGrid>
        <w:gridCol w:w="1886"/>
        <w:gridCol w:w="12214"/>
      </w:tblGrid>
      <w:tr>
        <w:trPr>
          <w:trHeight w:hRule="exact" w:val="454"/>
        </w:trPr>
        <w:tc>
          <w:tcPr>
            <w:tcW w:type="dxa" w:w="1886"/>
            <w:vAlign w:val="top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方正黑体_GBK" w:eastAsia="方正黑体_GBK" w:hAnsi="方正黑体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方正黑体_GBK" w:eastAsia="方正黑体_GBK" w:hAnsi="方正黑体_GBK" w:hint="default"/>
              </w:rPr>
              <w:t>专业类别</w:t>
            </w:r>
          </w:p>
        </w:tc>
        <w:tc>
          <w:tcPr>
            <w:tcW w:type="dxa" w:w="12214"/>
            <w:vAlign w:val="top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0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方正黑体_GBK" w:eastAsia="方正黑体_GBK" w:hAnsi="方正黑体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方正黑体_GBK" w:eastAsia="方正黑体_GBK" w:hAnsi="方正黑体_GBK" w:hint="default"/>
              </w:rPr>
              <w:t>一级（二级）学科</w:t>
            </w:r>
          </w:p>
        </w:tc>
      </w:tr>
      <w:tr>
        <w:trPr>
          <w:trHeight w:hRule="exact" w:val="67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规划建设类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建筑学、城乡规划学、城市规划（与设计）、土木工程、工程管理、资源环境与城乡规划管理、人文地理（与城乡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规划）、地理信息科学、地图学与地理信息系统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经济金融类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金融（学）、财政学、税务、经济学、经济与贸易、统计学、应用统计、会计、国际商务、资产评估、审计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装备制造类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机械、机械工程、工业设计（工程）、仪器、仪器科学与技术、自动化、控制科学与控制工程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电子信息类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电子信息、计算机（科学与技术）、电子科学与技术、软件工程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交通运输类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交通运输、交通运输工程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生物医药类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生物（医学）工程、生物（科）学、药学、中药学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生态环境类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生态学、环境科学与工程、自然灾害学、大气科学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农林水利类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农学、林学、水利、水利工程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航空航天类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航空航天、航空宇航科学与技术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医学卫生类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基础医学、临床医学、公共卫生（与预防医学）、中医学、中西医结合、口腔医学</w:t>
            </w:r>
          </w:p>
        </w:tc>
      </w:tr>
      <w:tr>
        <w:trPr>
          <w:trHeight w:hRule="exact" w:val="454"/>
        </w:trPr>
        <w:tc>
          <w:tcPr>
            <w:tcW w:type="dxa" w:w="188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现代物流类</w:t>
            </w:r>
          </w:p>
        </w:tc>
        <w:tc>
          <w:tcPr>
            <w:tcW w:type="dxa" w:w="1221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20" w:before="0" w:after="160"/>
              <w:pageBreakBefore w:val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方正仿宋_GBK" w:eastAsia="方正仿宋_GBK" w:hAnsi="方正仿宋_GBK" w:hint="default"/>
              </w:rPr>
              <w:t>物流管理与工程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600" w:before="0" w:after="160"/>
        <w:pageBreakBefore w:val="0"/>
        <w:ind w:right="0" w:firstLine="0"/>
        <w:rPr>
          <w:rStyle w:val="PO0"/>
          <w:spacing w:val="0"/>
          <w:color w:val="auto"/>
          <w:position w:val="0"/>
          <w:sz w:val="20"/>
          <w:szCs w:val="20"/>
          <w:smallCaps w:val="0"/>
          <w:rFonts w:ascii="Calibri" w:eastAsia="宋体" w:hAnsi="宋体" w:hint="default"/>
        </w:rPr>
        <w:snapToGrid w:val="on"/>
        <w:autoSpaceDE w:val="1"/>
        <w:autoSpaceDN w:val="1"/>
      </w:pPr>
    </w:p>
    <w:sectPr>
      <w:footerReference w:type="default" r:id="rId5"/>
      <w:pgSz w:w="16838" w:h="11906" w:orient="landscape"/>
      <w:pgMar w:top="1803" w:left="1440" w:bottom="1803" w:right="1440" w:header="851" w:footer="992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lines" w:linePitch="31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黑体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仿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</wp:posOffset>
              </wp:positionV>
              <wp:extent cx="622300" cy="332105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332740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style="mso-fit-shape-to-text:t;" inset="0pt,0pt,0pt,0pt">
                      <w:txbxContent>
                        <w:p>
                          <w:pPr>
                            <w:pStyle w:val="PO152"/>
                            <w:numPr>
                              <w:ilvl w:val="0"/>
                              <w:numId w:val="0"/>
                            </w:numPr>
                            <w:jc w:val="left"/>
                            <w:spacing w:lineRule="auto" w:line="240" w:before="0" w:after="160"/>
                            <w:ind w:right="0" w:firstLine="0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snapToGrid w:val="off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t xml:space="preserve">— </w:t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t>1</w:t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fldChar w:fldCharType="end"/>
                          </w:r>
                          <w:r>
                            <w:rPr>
                              <w:color w:val="auto"/>
                              <w:position w:val="0"/>
                              <w:sz w:val="28"/>
                              <w:szCs w:val="28"/>
                              <w:rFonts w:ascii="宋体" w:eastAsia="宋体" w:hAnsi="宋体" w:hint="default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3" style="position:absolute;left:0;margin-left:0pt;mso-position-horizontal:left;mso-position-horizontal-relative:margin;margin-top:0pt;mso-position-vertical:absolute;mso-position-vertical-relative:text;width:49.0pt;height:26.1pt;z-index:251624960;mso-wrap-style:none" coordsize="622300,332105" path="m,l622300,,622300,332105,,332105xe" stroked="f" filled="f">
              <v:textbox style="mso-fit-shape-to-text:t;" inset="0pt,0pt,0pt,0pt">
                <w:txbxContent>
                  <w:p>
                    <w:pPr>
                      <w:pStyle w:val="PO152"/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160"/>
                      <w:ind w:right="0" w:firstLine="0"/>
                      <w:tabs>
                        <w:tab w:val="center" w:pos="4153"/>
                        <w:tab w:val="right" w:pos="8306"/>
                      </w:tabs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snapToGrid w:val="off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t xml:space="preserve">— </w:t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t>1</w:t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fldChar w:fldCharType="end"/>
                    </w:r>
                    <w:r>
                      <w:rPr>
                        <w:color w:val="auto"/>
                        <w:position w:val="0"/>
                        <w:sz w:val="28"/>
                        <w:szCs w:val="28"/>
                        <w:rFonts w:ascii="宋体" w:eastAsia="宋体" w:hAnsi="宋体" w:hint="default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qFormat/>
    <w:uiPriority w:val="37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ody Text Indent 2"/>
    <w:basedOn w:val="PO1"/>
    <w:qFormat/>
    <w:uiPriority w:val="151"/>
    <w:pPr>
      <w:autoSpaceDE w:val="1"/>
      <w:autoSpaceDN w:val="1"/>
      <w:ind w:firstLine="640"/>
      <w:widowControl/>
      <w:wordWrap/>
    </w:pPr>
    <w:rPr>
      <w:rFonts w:ascii="宋体" w:eastAsia="仿宋_GB2312" w:hAnsi="宋体"/>
      <w:shd w:val="clear"/>
      <w:sz w:val="32"/>
      <w:szCs w:val="32"/>
      <w:w w:val="100"/>
    </w:rPr>
  </w:style>
  <w:style w:styleId="PO152" w:type="paragraph">
    <w:name w:val="footer"/>
    <w:basedOn w:val="PO1"/>
    <w:qFormat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qFormat/>
    <w:uiPriority w:val="153"/>
    <w:pPr>
      <w:autoSpaceDE w:val="1"/>
      <w:autoSpaceDN w:val="1"/>
      <w:jc w:val="both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Normal (Web)"/>
    <w:basedOn w:val="PO1"/>
    <w:qFormat/>
    <w:uiPriority w:val="154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  <w:style w:styleId="PO155" w:type="character">
    <w:name w:val="Hyperlink"/>
    <w:basedOn w:val="PO2"/>
    <w:qFormat/>
    <w:uiPriority w:val="155"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7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晓yu1419839105</dc:creator>
  <cp:lastModifiedBy/>
  <dcterms:modified xsi:type="dcterms:W3CDTF">2018-07-04T04:06:03Z</dcterms:modified>
</cp:coreProperties>
</file>