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380"/>
        <w:gridCol w:w="6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6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心脏大血管外科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（100210，105109，心胸外科（心外方向））专业，博士。30岁以下，有国外研究经历优先。医师岗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胸外科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（100210，105109，心胸外科）专业，博士。医师岗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神经外科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（100210，105109，神经外科）专业，硕士。要求取得四证。神经重症医师岗位。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公共卫生与预防医学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（1004）,公共卫生(105300)或</w:t>
            </w:r>
            <w:r>
              <w:rPr>
                <w:rFonts w:hint="default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（1002、1051）专业，硕士。科秘管理岗位，要求应届毕业生。神经外科或神经内科专业同等条件下优先。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血管外科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（100210，105109，普外科（血管外科方向））专业，博士。医师岗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甲状腺外科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（100210，105109，普通外科甲状腺）或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耳鼻咽喉科学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（100213，105112头颈肿瘤），硕士。医师岗。要求取得四证，有三级综合性教学医院甲状腺外科两年及以上工作经历，科研型。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泌尿外科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（100210，105109，泌尿外科）专业，博士。医师岗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公共卫生与预防医学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（1004）,公共卫生(105300)或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（1002、1051）专业，硕士。科秘管理岗位。要求应届毕业生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骨科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（100210，105109，骨科）专业，博士。医师岗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妇产科学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（100211、105110）专业，博士。生殖医学方向，女性不孕不育医师岗位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男科专业或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（100210，105109，泌外科学）专业，博士。生殖医学方向，男性不孕不育医师岗位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康复医学科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康复医学与理疗学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（100215、105114）、康复治疗学或人体运动医学专业，硕士。康复治疗师岗位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耳鼻咽喉科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耳鼻咽喉科学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（100213、105112）专业，博士。医师岗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耳鼻咽喉科学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（100213、105112）专业，硕士。听力室医师岗位，要求取得四证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眼科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眼科学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（100212，105111角膜病方向），博士。医师岗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儿童眼科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眼科学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（100212、105111）专业，博士或硕士。硕士要求取得四证，临床医师岗位。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眼科学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（100212、105111）专业，硕士。检查室医师岗位，要求取得四证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口腔医学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（1003、1052）专业，博士。医师岗。口腔颌面外科、牙周、种植、牙体牙髓方向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口腔医学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（1003、1052）专业，硕士。医师岗。要求取得四证。口腔颌面外科、牙周、种植、牙体牙髓方向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7"/>
                <w:szCs w:val="27"/>
                <w:bdr w:val="none" w:color="auto" w:sz="0" w:space="0"/>
              </w:rPr>
              <w:t>移植科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急诊医学（100218、105117）或临床检验诊断学（100208、105108）专业，硕士。医师岗。急诊医学专业1人，要求取得四证；检验专业1人。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麻醉科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（100217、105116）、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（100201，105101心血管内科、呼吸内科）、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（100210、105109）专业，硕士。医师岗。要求取得四证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7"/>
                <w:szCs w:val="27"/>
                <w:bdr w:val="none" w:color="auto" w:sz="0" w:space="0"/>
              </w:rPr>
              <w:t>医疗美容科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皮肤病与性病学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（100206、105106）专业，博士或硕士。医师岗。要求应届毕业生，硕士要求取得四证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中西医结合（1006）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专业，博士或硕士。医师岗。要求应届毕业生，硕士要求取得四证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心内科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 105101心血管病学），博士。医师岗。从事先天性心脏病或结构性介入手术工作。发表第一作者SCI期刊论著，IF5分以上者优先。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内科学（100201，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105101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心血管病学），硕士。医师岗。从事高血压和血管病相关介入手术工作。要求985院校毕业，第一学历为全日制本科（不含专升本），有高血压及外周介入手术经验者优先。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（100201，105101心血管病学），博士。医师岗。能从事冠心病相关介入手术者优先。发表第一作者SCI期刊论著，IF5分以上者优先。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公共卫生与预防医学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（1004）,公共卫生(105300)专业，博士。心血管病防治中心岗位（非医师岗）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（100201，105101心血管病学）专业，硕士。心血管病防治中心岗位（非医师岗）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公共卫生与预防医学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（1004）,公共卫生(105300)或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（1002、1051）专业，硕士。临床科研数据管理员岗位。要求应届毕业生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（100201，105101心血管病学）专业，硕士。要求应届硕士，要求取得四证。优秀住培生学员优先。心电诊断室医师岗位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神经内科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神经病学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（100204、105104）专业，博士。医师岗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神经病学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（100204、105104）专业，硕士。医师岗。要求取得四证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血液内科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公共卫生与预防医学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（1004）,公共卫生(105300)或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（1002、1051）专业，硕士，科秘管理岗位。要求应届毕业生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呼吸科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（100201，105101呼吸内科）或危重症专业，博士。医师岗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（100201，105101呼吸内科）或危重症专业，硕士。第一学历985以上学校毕业，呼吸介入医师岗。要求取得四证。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内分泌科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（100201，105101内分泌代谢）专业，博士。医师岗。有规培证优先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肾内科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（100201，105101肾脏内科）专业，博士。医师岗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消化内科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（100201，105101消化专业或肝病方向），博士。医师岗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（1002、1051）专业，博士或硕士。有一年及以上介入工作经历。硕士要求取得四证。消化介入医师岗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风湿免疫科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（100201，105101）专业，博士。医师岗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（100201，105101）专业，硕士。医师岗。风湿免疫方向，取得四证。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公共卫生与预防医学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（1004）,公共卫生(105300)或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（1002、1051）专业，硕士，科秘管理岗位。要求应届毕业生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感染性疾病科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（100201，105101传染病学、消化内科、呼吸内科）专业，博士。医师岗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（100201，105101传染病学）专业，硕士。医师岗。第一学历为全日制本科院校毕业，要求取得四证。在直属附属医院规培且获得优秀规培学员或研究生及本科学历为211院校毕业者优先。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儿内科（新生儿室）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儿科学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（100202、105102）或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（100201，105101）专业，博士或硕士。硕士要求取得四证。新生儿室医师岗位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心身医学科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精神病与精神卫生学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（100205、105105）专业，博士。医师岗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5-7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急诊医学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（100218、105117）、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（100201，105101）、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（100210、105109），博士或硕士。医师岗。硕士要求取得四证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5-7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急诊医学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（100218、105117）、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（100201、105101）、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（100210、105109），硕士。医师岗。要求取得四证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综合ICU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危重症专业，博士。医师岗。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（100201，105101）或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（100210、105109）专业，硕士。医师岗。要求取得四证，学术型优先。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分子医学实验室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（1002、1051）专业，博士。有产前诊断遗传学研究背景，有执业医师资格证。医师岗。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（1002、1051）专业，博士。有肿瘤遗传学研究背景，有执业医师资格证。医师岗。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分子生物学、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（1002、1051）或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法医学</w:t>
            </w:r>
            <w:r>
              <w:rPr>
                <w:rFonts w:ascii="黑体" w:hAnsi="宋体" w:eastAsia="黑体" w:cs="黑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（100105）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专业，博士或硕士。有PCR资质者优先。若为临床医学专业者，需要有执业医师资格证。临床医学专业为医师岗，其他专业为专业技术岗（非医师类）。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病理学与病理生理学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（100104、105128）专业，博士或硕士。有执业医师资格证。有PCR资质者优先。医师岗。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综合介入室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专业（100207，105107不含核医学方向）、放射介入或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（100210、105109），博士或硕士。医师岗。硕士要求取得四证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（100207，105107放射介入方向）、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（100210，105109心脏外科、心胸外科、心脏大血管外科方向、普外科（血管外科方向））专业，博士或硕士。医师岗。硕士要求取得四证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（100207，105107不含超声和核医学专业），博士或硕士。医师岗。硕士要求取得四证。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公共卫生与预防医学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（1004）,公共卫生(105300)或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（1002、1051）专业，硕士，应届毕业生，科秘管理岗位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核医学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（100207，105107不含核医学方向），硕士。医师岗。要求取得四证，MRI方向优先。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超声科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（100207，105107超声）专业，博士或硕士。医师岗。硕士要求取得四证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（100207，105107超声）专业，硕士。要求临床技能强，有省级课题，核心期刊论文1篇以上，体检中心超声医师岗位。要求取得四证。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检验科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临床检验诊断学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（100208、105108）专业，博士或硕士。其中2个医师岗位硕士要求住培证；2个技师岗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临床检验诊断学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（100208、105108）专业，硕士。其中2个医师岗位要求住培证；3个技师岗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输血科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临床检验诊断学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（100208、105108）专业，博士。科研型，第一学历医学检验专业本科。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医师岗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临床检验诊断学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（100208、105108）专业，硕士。医师岗，要求取得四证。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病理科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基础医学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（1001）或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临床检验诊断学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（100208、105108）专业，硕士。应届毕业生，技术员岗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体检中心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（100210、105109）专业，硕士。医师岗。要求临床技能强，有省级课题，核心期刊论文1篇以上。要求取得四证。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护理部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（100209、1054）专业，硕士。护理岗。第一学历为全日制本科（不含独立学院）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信息中心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信息与通讯工程（0810）或计算机科学与技术（0812）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，硕士。熟悉信息网络安全技术，服务器、操作系统及数据库维护管理相关技术;熟悉.NET、JAVA及大型数据库的使用，具有在MVC模式下开发软件程序能力;有相关工作经验或从事过医院软件开发、维护经验者优先。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医务科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公共卫生与预防医学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（1004）,公共卫生(105300)或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（1002、1051）专业，硕士。专业技术岗。要求应届毕业生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质控科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（1002、1051）专业，硕士。专业技术岗。要求应届毕业生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病案科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公共卫生与预防医学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（1004）,公共卫生(105300)或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（1002、1051）专业，硕士。要求应届毕业生。科员管理岗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医患调处科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社会医学与卫生事业管理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（120402、107401）或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（1002、1051）专业，硕士。要求应届毕业生。录取后，必须在医患调处科工作五年。科员管理岗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教务处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top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文学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类（05）专业，硕士。要求应届毕业生。科员管理岗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科教处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（1002、1051）专业，硕士。住培管理人员，科员管理岗。要求应届毕业生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医院办公室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管理学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（12，不含农林经济管理专业）、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（0501）、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新闻学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（050301）、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（1002，1051不含护理学）、设计（传播设计）专业，硕士。要求应届毕业生，有一定文字功底。有医学背景的优先。科员管理岗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人力资源处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民商法学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（030105,含劳动法学、社会保障法学）或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（120201、1253），硕士。要求应届毕业生、中共党员。科员管理岗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财务处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会计学（120201、1253）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企业管理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（120202，财务管理）、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金融学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（020204，不含保险学），博士或硕士。专业技术岗。要求应届毕业生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医学装备处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生物医学工程</w:t>
            </w: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（0831）或电子信息工程专业，博士或硕士。要求应届毕业生。科员管理岗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A1264"/>
    <w:rsid w:val="527A1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2018-05-29T08:03:00Z</dcterms:created>
  <dc:creator>Thinkpad</dc:creator>
  <cp:lastModifiedBy>Thinkpad</cp:lastModifiedBy>
  <dcterms:modified xsi:type="dcterms:W3CDTF">2018-05-29T08:03:42Z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