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ascii="微软雅黑" w:hAnsi="微软雅黑" w:eastAsia="微软雅黑" w:cs="微软雅黑"/>
          <w:b w:val="0"/>
          <w:i w:val="0"/>
          <w:caps w:val="0"/>
          <w:color w:val="000000"/>
          <w:spacing w:val="0"/>
          <w:sz w:val="18"/>
          <w:szCs w:val="18"/>
        </w:rPr>
      </w:pPr>
      <w:r>
        <w:rPr>
          <w:rStyle w:val="4"/>
          <w:rFonts w:ascii="仿宋" w:hAnsi="仿宋" w:eastAsia="仿宋" w:cs="仿宋"/>
          <w:i w:val="0"/>
          <w:caps w:val="0"/>
          <w:color w:val="000000"/>
          <w:spacing w:val="0"/>
          <w:sz w:val="32"/>
          <w:szCs w:val="32"/>
          <w:bdr w:val="none" w:color="auto" w:sz="0" w:space="0"/>
          <w:shd w:val="clear" w:fill="FFFFFF"/>
        </w:rPr>
        <w:t>引进待遇</w:t>
      </w:r>
      <w:r>
        <w:rPr>
          <w:rFonts w:hint="eastAsia" w:ascii="微软雅黑" w:hAnsi="微软雅黑" w:eastAsia="微软雅黑" w:cs="微软雅黑"/>
          <w:i w:val="0"/>
          <w:caps w:val="0"/>
          <w:color w:val="000000"/>
          <w:spacing w:val="0"/>
          <w:sz w:val="32"/>
          <w:szCs w:val="32"/>
          <w:bdr w:val="none" w:color="auto" w:sz="0" w:space="0"/>
          <w:shd w:val="clear" w:fill="FFFFFF"/>
        </w:rPr>
        <w:t> </w:t>
      </w:r>
      <w:r>
        <w:rPr>
          <w:rStyle w:val="4"/>
          <w:rFonts w:hint="eastAsia" w:ascii="微软雅黑" w:hAnsi="微软雅黑" w:eastAsia="微软雅黑" w:cs="微软雅黑"/>
          <w:i w:val="0"/>
          <w:caps w:val="0"/>
          <w:color w:val="000000"/>
          <w:spacing w:val="0"/>
          <w:sz w:val="32"/>
          <w:szCs w:val="32"/>
          <w:bdr w:val="none" w:color="auto" w:sz="0" w:space="0"/>
          <w:shd w:val="clear" w:fill="FFFFFF"/>
        </w:rPr>
        <w:t> </w:t>
      </w:r>
    </w:p>
    <w:tbl>
      <w:tblPr>
        <w:tblW w:w="8520"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31"/>
        <w:gridCol w:w="2341"/>
        <w:gridCol w:w="1304"/>
        <w:gridCol w:w="1281"/>
        <w:gridCol w:w="1304"/>
        <w:gridCol w:w="155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5" w:hRule="atLeast"/>
          <w:tblHeader/>
        </w:trPr>
        <w:tc>
          <w:tcPr>
            <w:tcW w:w="73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层次</w:t>
            </w:r>
          </w:p>
        </w:tc>
        <w:tc>
          <w:tcPr>
            <w:tcW w:w="2341"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相应条件</w:t>
            </w:r>
          </w:p>
        </w:tc>
        <w:tc>
          <w:tcPr>
            <w:tcW w:w="130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购房补贴和安家费</w:t>
            </w:r>
          </w:p>
        </w:tc>
        <w:tc>
          <w:tcPr>
            <w:tcW w:w="258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科研经费</w:t>
            </w:r>
          </w:p>
        </w:tc>
        <w:tc>
          <w:tcPr>
            <w:tcW w:w="155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年薪及其他待遇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73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2341"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130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实验类理科、工科</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非实验类理科、人文社科</w:t>
            </w:r>
          </w:p>
        </w:tc>
        <w:tc>
          <w:tcPr>
            <w:tcW w:w="155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670" w:hRule="atLeast"/>
        </w:trPr>
        <w:tc>
          <w:tcPr>
            <w:tcW w:w="73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一层次</w:t>
            </w:r>
          </w:p>
        </w:tc>
        <w:tc>
          <w:tcPr>
            <w:tcW w:w="23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诺贝尔奖、图灵奖、菲尔兹奖等国际大奖获得者；国家“两院”院士；国家“万人计划”杰出人才；在世界一流大学、科研机构任职的国际著名学者；学术水平相当于“两院”院士的人才；哲学社会科学领域做出重大贡献的资深教授。</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面议</w:t>
            </w: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面议</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面议</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购房补贴和科研经费根据实际情况由学校与引进人才协商确定。聘期内享受税前年薪不少于120万元。配偶符合调动条件的可随调并在校内妥善安排工作，可安排1名子女在校内工作。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092" w:hRule="atLeast"/>
        </w:trPr>
        <w:tc>
          <w:tcPr>
            <w:tcW w:w="7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二层次</w:t>
            </w:r>
          </w:p>
        </w:tc>
        <w:tc>
          <w:tcPr>
            <w:tcW w:w="23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国家“千人计划”创新人才项目入选者、国家“万人计划”领军人才、教育部“长江学者奖励计划”特聘或讲座教授；国家自然科学基金杰出青年基金获得者；国家重点研发计划首席科学家；国家自然科学基金委创新研究群体带头人；云南省科技领军人才培养计划入选者；国家科技三大奖（自然、进步、发明）特等奖排前3名，一等奖排前2名，二等奖排名第1；世界著名大学终身教授或同行评议达到该层次相当水平人员。以上人员原则上要求年龄在55周岁以下。</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万元</w:t>
            </w: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1000万元以内</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300万元以内</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在职工作期间年薪不少于80万元；配偶符合调动条件的可随调并在校内安排工作。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三层次</w:t>
            </w:r>
          </w:p>
        </w:tc>
        <w:tc>
          <w:tcPr>
            <w:tcW w:w="23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国家“青年千人计划”入选者，国家“万人计划”青年拔尖人才，教育部“青年长江学者”入选者，国家自然科学基金优秀青年科学基金获得者；海外著名大学或研究机构终身教授或特别优秀的副教授，或同行评议达到该层次相当水平人员。以上人员原则上要求年龄在45周岁以下。</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万元</w:t>
            </w: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800万元以内</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200万元以内</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在职工作期间年薪不少于60万元；配偶符合调动条件的可随调并在校内安排工作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四层次</w:t>
            </w:r>
          </w:p>
        </w:tc>
        <w:tc>
          <w:tcPr>
            <w:tcW w:w="23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百千万人才工程”国家级人选；国务院学科评议组成员；国家自然（社会）科学基金重大项目负责人；择优支持的中国科学院“百人计划”入选者；教育部国家级高等学校教学名师；国外著名大学或研究机构的学者或研究人员或同行评议达到该层次相当水平人员；国家科技三大奖（自然、进步、发明）特等奖排名第4、一等奖排名第3、二等奖排名第2；教育部高等学校科学研究优秀成果奖一等奖排名第1;省级科学技术特等奖排名第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pPr>
            <w:r>
              <w:rPr>
                <w:rFonts w:hint="eastAsia" w:ascii="仿宋" w:hAnsi="仿宋" w:eastAsia="仿宋" w:cs="仿宋"/>
                <w:b w:val="0"/>
                <w:i w:val="0"/>
                <w:caps w:val="0"/>
                <w:color w:val="000000"/>
                <w:spacing w:val="0"/>
                <w:sz w:val="24"/>
                <w:szCs w:val="24"/>
                <w:bdr w:val="none" w:color="auto" w:sz="0" w:space="0"/>
              </w:rPr>
              <w:t>以上人员原则要求年龄在50周岁以下。</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万元</w:t>
            </w: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500万元以内</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150万元以内</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聘期内，除享受学校按照国家有关规定提供的工资、保险、福利待遇外，还可享受每年税前30万元特殊津贴；配偶符合调动条件的可随调并在校内安排工作。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五层次</w:t>
            </w:r>
          </w:p>
        </w:tc>
        <w:tc>
          <w:tcPr>
            <w:tcW w:w="23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原教育部“新世纪优秀人才支持计划”入选者；全国宣传文化系统“四个一批”人才；云南省“万人计划”云岭学者入选者；其他省（市）著名人才计划入选者；教育部重大（招标）项目负责人；国家自然（社会）科学基金重点项目负责人（联合基金重点项目除外）；海外知名大学助理教授及以上职位或其他相应职位者；获国家级教学成果一等奖排名前2或二等奖排名第1；教育部高等学校科学研究优秀成果奖（人文社会科学）二等奖排名第1；省级科学技术一等奖排名第1；省级哲学社会科学优秀成果一等奖排名第1。以上人员一般要求年龄在45周岁以下。</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万元</w:t>
            </w: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200万元以内</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60万元以内</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聘期内除享受学校按照国家有关规定提供的工资、保险、福利待遇外，还可享受每年税前20万元特殊津贴；配偶符合调动条件的可随调并在校内安排工作。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31" w:hRule="atLeast"/>
        </w:trPr>
        <w:tc>
          <w:tcPr>
            <w:tcW w:w="73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b w:val="0"/>
                <w:i w:val="0"/>
                <w:caps w:val="0"/>
                <w:color w:val="000000"/>
                <w:spacing w:val="0"/>
                <w:sz w:val="24"/>
                <w:szCs w:val="24"/>
                <w:bdr w:val="none" w:color="auto" w:sz="0" w:space="0"/>
              </w:rPr>
              <w:t>六层次</w:t>
            </w:r>
          </w:p>
        </w:tc>
        <w:tc>
          <w:tcPr>
            <w:tcW w:w="23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原则上年龄不超过40周岁。云南省“万人计划”产业领军人才、教学名师、文化名家入选者；海外高校或研究机构优秀博士或博士后，或同行评议达到该层次相当水平人员；具有博士学位或副高级以上专业技术职务，近5年主持国家自然（社会）科学基金项目（海外应聘者除外）或入选博士后创新人才支持计划或获得博士后特别资助，同时业绩成果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（1）以第一作者或通讯作者在自然指数期刊包含的68种期刊上发表论文不少于5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b w:val="0"/>
                <w:i w:val="0"/>
                <w:caps w:val="0"/>
                <w:color w:val="000000"/>
                <w:spacing w:val="0"/>
                <w:sz w:val="24"/>
                <w:szCs w:val="24"/>
                <w:bdr w:val="none" w:color="auto" w:sz="0" w:space="0"/>
              </w:rPr>
              <w:t>篇；或以第一作者或通讯作者在本学科顶级期刊上发表论文不少于3篇；（2）以第一作者在中国社会科学院各研究所主办的学术刊物上发表论文不少于3篇；或以第一作者在本学科顶级期刊发表论文不少于3篇；或以第一作者在本学科领域SSCI学术刊物发表论文不少于2篇；（3）获省部级科学技术奖一等奖排名前2、二等奖排名第1；（4）获教育部高等学校科学研究优秀成果奖（人文社会科学）三等奖排名第1，或省级哲学社会科学优秀成果二等奖排名第1；（5）获省级教学成果一等奖排名第1；（6）云南省中青年学术技术带头人及后备人才，或云南省技术创新人才及培养对象；（7）作为第一专利发明人获国家发明专利授权5项以上，或在工程技术领域取得突出成果并产生重大经济效益。</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jc w:val="center"/>
            </w:pPr>
            <w:r>
              <w:rPr>
                <w:rFonts w:hint="eastAsia" w:ascii="仿宋" w:hAnsi="仿宋" w:eastAsia="仿宋" w:cs="仿宋"/>
                <w:b w:val="0"/>
                <w:i w:val="0"/>
                <w:caps w:val="0"/>
                <w:color w:val="000000"/>
                <w:spacing w:val="0"/>
                <w:sz w:val="24"/>
                <w:szCs w:val="24"/>
                <w:bdr w:val="none" w:color="auto" w:sz="0" w:space="0"/>
              </w:rPr>
              <w:t>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万元</w:t>
            </w:r>
          </w:p>
        </w:tc>
        <w:tc>
          <w:tcPr>
            <w:tcW w:w="1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100万元以内</w:t>
            </w:r>
          </w:p>
        </w:tc>
        <w:tc>
          <w:tcPr>
            <w:tcW w:w="13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30万元以内</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b w:val="0"/>
                <w:i w:val="0"/>
                <w:caps w:val="0"/>
                <w:color w:val="000000"/>
                <w:spacing w:val="0"/>
                <w:sz w:val="24"/>
                <w:szCs w:val="24"/>
                <w:bdr w:val="none" w:color="auto" w:sz="0" w:space="0"/>
              </w:rPr>
              <w:t>聘期内除享受学校按照国家有关规定提供的工资、保险、福利待遇外，还可享受每年税前10万元特殊津贴；配偶符合调动条件的可随调并在校内安排工作。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F2CD3"/>
    <w:rsid w:val="6D535020"/>
    <w:rsid w:val="7B3F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2018-04-19T07:52:00Z</dcterms:created>
  <dc:creator>ASUS</dc:creator>
  <cp:lastModifiedBy>ASUS</cp:lastModifiedBy>
  <dcterms:modified xsi:type="dcterms:W3CDTF">2018-04-19T07:52:28Z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