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035"/>
        <w:gridCol w:w="810"/>
        <w:gridCol w:w="660"/>
        <w:gridCol w:w="1740"/>
        <w:gridCol w:w="111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招聘专业及学历(学位)要求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15" w:type="dxa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宁波市市级机关公文交换中心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财会类专业，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大学本科及以上学历（学位）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宁波市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bdr w:val="none" w:color="auto" w:sz="0" w:space="0"/>
              </w:rPr>
              <w:t>中共党员（含预备党员）、有3年及以上工作经历、具有助理会计师及以上专业技术职务任职资格、年龄35周岁以下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375" w:lineRule="atLeast"/>
        <w:ind w:left="0" w:right="0" w:firstLine="360"/>
        <w:jc w:val="both"/>
        <w:rPr>
          <w:rFonts w:hint="eastAsia" w:ascii="微软雅黑" w:hAnsi="微软雅黑" w:eastAsia="微软雅黑" w:cs="微软雅黑"/>
          <w:color w:val="68686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备注：学历取得和年龄的计算截止时间均为公告发布之日。属于留学回国（境）人员报名时须提供国家教育部留学人员服务中心出具的国（境）外学历认证书，专业相近的，以所学课程为准。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2018-03-13T07:39:06Z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