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2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2E2E2E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E2E2E"/>
          <w:spacing w:val="0"/>
          <w:sz w:val="36"/>
          <w:szCs w:val="36"/>
          <w:bdr w:val="none" w:color="auto" w:sz="0" w:space="0"/>
        </w:rPr>
        <w:t>楚雄市2018年引进卫生专业技术人才岗位信息表</w:t>
      </w:r>
    </w:p>
    <w:tbl>
      <w:tblPr>
        <w:tblW w:w="8511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1035"/>
        <w:gridCol w:w="1035"/>
        <w:gridCol w:w="837"/>
        <w:gridCol w:w="871"/>
        <w:gridCol w:w="837"/>
        <w:gridCol w:w="837"/>
        <w:gridCol w:w="837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0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计划引进人数</w:t>
            </w:r>
          </w:p>
        </w:tc>
        <w:tc>
          <w:tcPr>
            <w:tcW w:w="45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A1</w:t>
            </w:r>
          </w:p>
        </w:tc>
        <w:tc>
          <w:tcPr>
            <w:tcW w:w="10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楚雄市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医师以上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在二级（县级）以上医疗机构工作，进修过儿科专业。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A2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影像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副高以上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影像</w:t>
            </w:r>
          </w:p>
        </w:tc>
        <w:tc>
          <w:tcPr>
            <w:tcW w:w="1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在二级（县级）以上医疗机构工作。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A3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麻醉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中职以上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麻醉</w:t>
            </w: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楚雄市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中医医院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针灸科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1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在二级（县级）以上医院工作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A5</w:t>
            </w:r>
          </w:p>
        </w:tc>
        <w:tc>
          <w:tcPr>
            <w:tcW w:w="10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楚雄市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中医医院医共体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（鹿城镇富民社区卫生服务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中心）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脾胃病科（消化内科）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A6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老年病科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A7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脑病科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（神经内科）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A8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心内科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A9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普外科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在二级（县级）以上医院工作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其中：科主任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-15"/>
                <w:sz w:val="21"/>
                <w:szCs w:val="21"/>
                <w:bdr w:val="none" w:color="auto" w:sz="0" w:space="0"/>
              </w:rPr>
              <w:t>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麻醉</w:t>
            </w: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A11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大学本科毕业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2018-02-24T09:27:35Z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