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00" w:lineRule="exact"/>
        <w:ind w:right="375" w:firstLine="0" w:firstLineChars="0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pStyle w:val="3"/>
        <w:spacing w:before="0" w:beforeLines="0" w:beforeAutospacing="0" w:after="0" w:afterLines="0" w:afterAutospacing="0" w:line="600" w:lineRule="exact"/>
        <w:ind w:left="375" w:right="375" w:firstLine="495"/>
        <w:rPr>
          <w:rFonts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附件1：</w:t>
      </w:r>
    </w:p>
    <w:p>
      <w:pPr>
        <w:pStyle w:val="3"/>
        <w:spacing w:before="0" w:beforeLines="0" w:beforeAutospacing="0" w:after="0" w:afterLines="0" w:afterAutospacing="0" w:line="600" w:lineRule="exact"/>
        <w:ind w:left="375" w:right="375" w:firstLine="495"/>
        <w:rPr>
          <w:rFonts w:ascii="Times New Roman" w:hAnsi="Times New Roman" w:eastAsia="方正黑体_GBK" w:cs="Times New Roman"/>
          <w:color w:val="auto"/>
          <w:sz w:val="32"/>
          <w:szCs w:val="32"/>
        </w:rPr>
      </w:pPr>
    </w:p>
    <w:tbl>
      <w:tblPr>
        <w:tblStyle w:val="5"/>
        <w:tblW w:w="137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2"/>
        <w:gridCol w:w="1239"/>
        <w:gridCol w:w="1144"/>
        <w:gridCol w:w="1200"/>
        <w:gridCol w:w="735"/>
        <w:gridCol w:w="630"/>
        <w:gridCol w:w="3705"/>
        <w:gridCol w:w="1440"/>
        <w:gridCol w:w="1155"/>
        <w:gridCol w:w="915"/>
        <w:gridCol w:w="9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3795" w:type="dxa"/>
            <w:gridSpan w:val="11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ascii="Times New Roman" w:hAnsi="Times New Roman" w:eastAsia="方正小标宋_GBK" w:cs="Times New Roman"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_GBK" w:cs="Times New Roman"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云阳县公开考核招聘事业单位工作人员岗位条件一览表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82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基本条件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职称或执业资格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县卫生计生委</w:t>
            </w:r>
          </w:p>
        </w:tc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县人民医院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泌尿外科岗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方正仿宋_GBK"/>
                <w:color w:val="auto"/>
                <w:spacing w:val="-6"/>
                <w:kern w:val="0"/>
                <w:sz w:val="21"/>
                <w:szCs w:val="21"/>
              </w:rPr>
              <w:t>专业技术10级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全日制普通高校研究生学历并取得博士学位（第一学历须为全日制普通高校本科学历并取得相应学位）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病理学与病理生理学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45周岁及以下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5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医院综合管理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/>
                <w:color w:val="auto"/>
                <w:spacing w:val="-6"/>
                <w:kern w:val="0"/>
                <w:sz w:val="21"/>
                <w:szCs w:val="21"/>
              </w:rPr>
              <w:t>专业技术12级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7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全日制普通高校研究生学历并取得相应学位（第一学历须为全日制普通高校本科学历并取得相应学位）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公共管理类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5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县国土资源和房屋管局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县国土资源和房屋信息中心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计算机岗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专技12级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全日制研究生并取得相应学位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计算机应用技术，计算机科学与技术、计算机技术、计算机科学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ascii="Times New Roman" w:hAnsi="Times New Roman" w:eastAsia="方正仿宋_GBK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  <w:t>35岁以下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0" w:afterLines="0" w:line="600" w:lineRule="exact"/>
              <w:jc w:val="center"/>
              <w:rPr>
                <w:rFonts w:hint="default" w:ascii="Times New Roman" w:hAnsi="Times New Roman" w:eastAsia="方正仿宋_GBK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beforeLines="0" w:afterLines="0" w:line="600" w:lineRule="exact"/>
        <w:rPr>
          <w:rFonts w:ascii="Times New Roman" w:hAnsi="Times New Roman" w:eastAsia="方正仿宋_GBK"/>
          <w:color w:val="auto"/>
          <w:sz w:val="32"/>
          <w:szCs w:val="32"/>
        </w:rPr>
        <w:sectPr>
          <w:footerReference r:id="rId3" w:type="default"/>
          <w:pgSz w:w="16838" w:h="11906" w:orient="landscape"/>
          <w:pgMar w:top="1474" w:right="1134" w:bottom="1418" w:left="1134" w:header="851" w:footer="992" w:gutter="0"/>
          <w:cols w:space="425" w:num="1"/>
          <w:docGrid w:type="lines" w:linePitch="312" w:charSpace="0"/>
        </w:sectPr>
      </w:pPr>
    </w:p>
    <w:p>
      <w:pPr/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325643"/>
    </w:sdtPr>
    <w:sdtEndPr>
      <w:rPr>
        <w:sz w:val="28"/>
        <w:szCs w:val="28"/>
      </w:rPr>
    </w:sdtEndPr>
    <w:sdtContent>
      <w:p>
        <w:pPr>
          <w:pStyle w:val="2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6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48CE"/>
    <w:rsid w:val="709E48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2018-02-09T07:17:00Z</dcterms:created>
  <dc:creator>Administrator</dc:creator>
  <cp:lastModifiedBy>Administrator</cp:lastModifiedBy>
  <dcterms:modified xsi:type="dcterms:W3CDTF">2018-02-09T07:18:50Z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