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13872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89"/>
        <w:gridCol w:w="855"/>
        <w:gridCol w:w="825"/>
        <w:gridCol w:w="1050"/>
        <w:gridCol w:w="2400"/>
        <w:gridCol w:w="990"/>
        <w:gridCol w:w="3868"/>
        <w:gridCol w:w="1995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5" w:hRule="atLeast"/>
        </w:trPr>
        <w:tc>
          <w:tcPr>
            <w:tcW w:w="1889" w:type="dxa"/>
            <w:vAlign w:val="bottom"/>
          </w:tcPr>
          <w:p>
            <w:pPr>
              <w:widowControl/>
              <w:jc w:val="left"/>
              <w:textAlignment w:val="bottom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lang w:bidi="ar"/>
              </w:rPr>
              <w:t>附件1</w:t>
            </w:r>
          </w:p>
        </w:tc>
        <w:tc>
          <w:tcPr>
            <w:tcW w:w="855" w:type="dxa"/>
            <w:vAlign w:val="bottom"/>
          </w:tcPr>
          <w:p>
            <w:pP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vAlign w:val="bottom"/>
          </w:tcPr>
          <w:p>
            <w:pP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vAlign w:val="bottom"/>
          </w:tcPr>
          <w:p>
            <w:pP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400" w:type="dxa"/>
            <w:vAlign w:val="bottom"/>
          </w:tcPr>
          <w:p>
            <w:pP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>
            <w:pP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3868" w:type="dxa"/>
            <w:vAlign w:val="bottom"/>
          </w:tcPr>
          <w:p>
            <w:pP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95" w:type="dxa"/>
            <w:vAlign w:val="bottom"/>
          </w:tcPr>
          <w:p>
            <w:pP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24" w:hRule="atLeast"/>
        </w:trPr>
        <w:tc>
          <w:tcPr>
            <w:tcW w:w="13872" w:type="dxa"/>
            <w:gridSpan w:val="8"/>
            <w:vAlign w:val="center"/>
          </w:tcPr>
          <w:p>
            <w:pPr>
              <w:widowControl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color w:val="000000"/>
                <w:sz w:val="44"/>
                <w:szCs w:val="44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000000"/>
                <w:kern w:val="0"/>
                <w:sz w:val="44"/>
                <w:szCs w:val="44"/>
                <w:lang w:bidi="ar"/>
              </w:rPr>
              <w:t>金华市婺城区第一人民医院招聘岗位需求表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80" w:hRule="atLeast"/>
        </w:trPr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招聘岗位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招聘人数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学历要求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年龄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要求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专业要求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户籍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范围</w:t>
            </w:r>
          </w:p>
        </w:tc>
        <w:tc>
          <w:tcPr>
            <w:tcW w:w="3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其他要求和有关说明（执业资格、专业技术资格、工作经历等）</w:t>
            </w: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专业考试科目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</w:trPr>
        <w:tc>
          <w:tcPr>
            <w:tcW w:w="1889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护士(1)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8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大专及以上学历</w:t>
            </w:r>
          </w:p>
        </w:tc>
        <w:tc>
          <w:tcPr>
            <w:tcW w:w="10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35周岁及以下（时间截至报名日，下同）；具有高级职称人员年龄可放宽至45周岁及以下；具有中级职称人员年龄可放宽至40周岁及以下。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助产</w:t>
            </w:r>
          </w:p>
        </w:tc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不限</w:t>
            </w:r>
          </w:p>
        </w:tc>
        <w:tc>
          <w:tcPr>
            <w:tcW w:w="3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具有护士及以上资格</w:t>
            </w: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护理学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</w:trPr>
        <w:tc>
          <w:tcPr>
            <w:tcW w:w="1889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护士(2)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8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护理学</w:t>
            </w:r>
          </w:p>
        </w:tc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</w:p>
        </w:tc>
        <w:tc>
          <w:tcPr>
            <w:tcW w:w="3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2018年应届毕业生</w:t>
            </w: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护理学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</w:trPr>
        <w:tc>
          <w:tcPr>
            <w:tcW w:w="1889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护士(3)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8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护理学</w:t>
            </w:r>
          </w:p>
        </w:tc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</w:p>
        </w:tc>
        <w:tc>
          <w:tcPr>
            <w:tcW w:w="3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具有护士及以上资格</w:t>
            </w: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护理学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</w:trPr>
        <w:tc>
          <w:tcPr>
            <w:tcW w:w="1889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内科医师(1)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8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临床医学</w:t>
            </w:r>
          </w:p>
        </w:tc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</w:p>
        </w:tc>
        <w:tc>
          <w:tcPr>
            <w:tcW w:w="3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2018年应届毕业生</w:t>
            </w: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临床医学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</w:trPr>
        <w:tc>
          <w:tcPr>
            <w:tcW w:w="1889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内科医师(2)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8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临床医学</w:t>
            </w:r>
          </w:p>
        </w:tc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</w:p>
        </w:tc>
        <w:tc>
          <w:tcPr>
            <w:tcW w:w="3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具有执业助理医师及以上资格</w:t>
            </w: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临床医学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</w:trPr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外科医师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8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临床医学</w:t>
            </w:r>
          </w:p>
        </w:tc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</w:p>
        </w:tc>
        <w:tc>
          <w:tcPr>
            <w:tcW w:w="3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具有执业助理医师及以上资格</w:t>
            </w: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临床医学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</w:trPr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骨科医师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8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临床医学或中西医结合</w:t>
            </w:r>
          </w:p>
        </w:tc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</w:p>
        </w:tc>
        <w:tc>
          <w:tcPr>
            <w:tcW w:w="3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2018年应届毕业生</w:t>
            </w: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临床医学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</w:trPr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妇产科医师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8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临床医学</w:t>
            </w:r>
          </w:p>
        </w:tc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</w:p>
        </w:tc>
        <w:tc>
          <w:tcPr>
            <w:tcW w:w="3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具有执业助理医师及以上资格</w:t>
            </w: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临床医学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</w:trPr>
        <w:tc>
          <w:tcPr>
            <w:tcW w:w="1889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儿科医师(1)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8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临床医学</w:t>
            </w:r>
          </w:p>
        </w:tc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</w:p>
        </w:tc>
        <w:tc>
          <w:tcPr>
            <w:tcW w:w="3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2018年应届毕业生</w:t>
            </w: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临床医学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</w:trPr>
        <w:tc>
          <w:tcPr>
            <w:tcW w:w="1889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儿科医师(2)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8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临床医学</w:t>
            </w:r>
          </w:p>
        </w:tc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</w:p>
        </w:tc>
        <w:tc>
          <w:tcPr>
            <w:tcW w:w="3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具有执业助理医师及以上资格</w:t>
            </w: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临床医学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</w:trPr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康复科医师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8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临床医学或康复医学</w:t>
            </w:r>
          </w:p>
        </w:tc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</w:p>
        </w:tc>
        <w:tc>
          <w:tcPr>
            <w:tcW w:w="3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具有执业助理医师及以上资格</w:t>
            </w: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临床医学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</w:trPr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麻醉科医师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8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临床医学或麻醉学</w:t>
            </w:r>
          </w:p>
        </w:tc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</w:p>
        </w:tc>
        <w:tc>
          <w:tcPr>
            <w:tcW w:w="3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具有中级主治医师及以上资格</w:t>
            </w: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临床医学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</w:trPr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放射医师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8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临床医学或医学影像学</w:t>
            </w:r>
          </w:p>
        </w:tc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</w:p>
        </w:tc>
        <w:tc>
          <w:tcPr>
            <w:tcW w:w="3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具有执业助理医师及以上资格</w:t>
            </w: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临床医学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</w:trPr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B超医师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8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临床医学或医学影像学</w:t>
            </w:r>
          </w:p>
        </w:tc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</w:p>
        </w:tc>
        <w:tc>
          <w:tcPr>
            <w:tcW w:w="3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具有执业助理医师及以上资格</w:t>
            </w: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临床医学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</w:trPr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合计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  <w:szCs w:val="24"/>
                <w:lang w:bidi="ar"/>
              </w:rPr>
              <w:t>17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sz w:val="24"/>
                <w:szCs w:val="24"/>
              </w:rPr>
            </w:pPr>
          </w:p>
        </w:tc>
        <w:tc>
          <w:tcPr>
            <w:tcW w:w="3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sz w:val="24"/>
                <w:szCs w:val="24"/>
              </w:rPr>
            </w:pPr>
          </w:p>
        </w:tc>
      </w:tr>
    </w:tbl>
    <w:p>
      <w:pPr>
        <w:sectPr>
          <w:pgSz w:w="16838" w:h="11906" w:orient="landscape"/>
          <w:pgMar w:top="1417" w:right="1701" w:bottom="1417" w:left="1440" w:header="851" w:footer="992" w:gutter="0"/>
          <w:cols w:space="720" w:num="1"/>
          <w:docGrid w:type="lines" w:linePitch="324" w:charSpace="0"/>
        </w:sectPr>
      </w:pPr>
    </w:p>
    <w:p>
      <w:pPr>
        <w:spacing w:line="500" w:lineRule="exact"/>
        <w:rPr>
          <w:rFonts w:hint="eastAsia" w:ascii="仿宋_GB2312" w:hAnsi="宋体" w:eastAsia="仿宋_GB2312"/>
          <w:kern w:val="0"/>
          <w:szCs w:val="21"/>
        </w:rPr>
      </w:pPr>
      <w:r>
        <w:rPr>
          <w:rFonts w:hint="eastAsia" w:ascii="仿宋_GB2312" w:hAnsi="宋体" w:eastAsia="仿宋_GB2312"/>
          <w:kern w:val="0"/>
        </w:rPr>
        <w:t xml:space="preserve">附件2  </w:t>
      </w:r>
      <w:r>
        <w:rPr>
          <w:rFonts w:hint="eastAsia" w:ascii="仿宋_GB2312" w:hAnsi="宋体" w:eastAsia="仿宋_GB2312"/>
          <w:kern w:val="0"/>
          <w:szCs w:val="21"/>
        </w:rPr>
        <w:t xml:space="preserve">   </w:t>
      </w:r>
    </w:p>
    <w:p>
      <w:pPr>
        <w:spacing w:line="500" w:lineRule="exact"/>
        <w:jc w:val="center"/>
        <w:rPr>
          <w:rFonts w:hint="eastAsia" w:ascii="仿宋_GB2312" w:eastAsia="仿宋_GB2312"/>
          <w:sz w:val="28"/>
        </w:rPr>
      </w:pPr>
      <w:r>
        <w:rPr>
          <w:rFonts w:hint="eastAsia" w:ascii="仿宋_GB2312" w:eastAsia="仿宋_GB2312"/>
          <w:b/>
          <w:sz w:val="40"/>
        </w:rPr>
        <w:t>金华市事业单位招聘工作人员考试报名表</w:t>
      </w:r>
    </w:p>
    <w:p>
      <w:pPr>
        <w:spacing w:line="500" w:lineRule="exact"/>
        <w:rPr>
          <w:rFonts w:hint="eastAsia"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报考单位：</w:t>
      </w:r>
      <w:r>
        <w:rPr>
          <w:rFonts w:hint="eastAsia" w:ascii="仿宋_GB2312" w:eastAsia="仿宋_GB2312"/>
          <w:sz w:val="28"/>
        </w:rPr>
        <w:tab/>
      </w:r>
      <w:r>
        <w:rPr>
          <w:rFonts w:hint="eastAsia" w:ascii="仿宋_GB2312" w:eastAsia="仿宋_GB2312"/>
          <w:sz w:val="28"/>
        </w:rPr>
        <w:tab/>
      </w:r>
      <w:r>
        <w:rPr>
          <w:rFonts w:hint="eastAsia" w:ascii="仿宋_GB2312" w:eastAsia="仿宋_GB2312"/>
          <w:sz w:val="28"/>
        </w:rPr>
        <w:tab/>
      </w:r>
      <w:r>
        <w:rPr>
          <w:rFonts w:hint="eastAsia" w:ascii="仿宋_GB2312" w:eastAsia="仿宋_GB2312"/>
          <w:sz w:val="28"/>
        </w:rPr>
        <w:t xml:space="preserve"> </w:t>
      </w:r>
      <w:r>
        <w:rPr>
          <w:rFonts w:hint="eastAsia" w:ascii="仿宋_GB2312" w:eastAsia="仿宋_GB2312"/>
          <w:sz w:val="28"/>
        </w:rPr>
        <w:tab/>
      </w:r>
      <w:r>
        <w:rPr>
          <w:rFonts w:hint="eastAsia" w:ascii="仿宋_GB2312" w:eastAsia="仿宋_GB2312"/>
          <w:sz w:val="28"/>
        </w:rPr>
        <w:tab/>
      </w:r>
      <w:r>
        <w:rPr>
          <w:rFonts w:hint="eastAsia" w:ascii="仿宋_GB2312" w:eastAsia="仿宋_GB2312"/>
          <w:sz w:val="28"/>
        </w:rPr>
        <w:tab/>
      </w:r>
      <w:r>
        <w:rPr>
          <w:rFonts w:hint="eastAsia" w:ascii="仿宋_GB2312" w:eastAsia="仿宋_GB2312"/>
          <w:sz w:val="28"/>
        </w:rPr>
        <w:t>报考岗位：</w:t>
      </w:r>
      <w:r>
        <w:rPr>
          <w:rFonts w:hint="eastAsia" w:ascii="仿宋_GB2312" w:eastAsia="仿宋_GB2312"/>
          <w:sz w:val="28"/>
        </w:rPr>
        <w:tab/>
      </w:r>
      <w:r>
        <w:rPr>
          <w:rFonts w:hint="eastAsia" w:ascii="仿宋_GB2312" w:eastAsia="仿宋_GB2312"/>
          <w:sz w:val="28"/>
        </w:rPr>
        <w:tab/>
      </w:r>
      <w:r>
        <w:rPr>
          <w:rFonts w:hint="eastAsia" w:ascii="仿宋_GB2312" w:eastAsia="仿宋_GB2312"/>
          <w:sz w:val="28"/>
        </w:rPr>
        <w:tab/>
      </w:r>
      <w:r>
        <w:rPr>
          <w:rFonts w:hint="eastAsia" w:ascii="仿宋_GB2312" w:eastAsia="仿宋_GB2312"/>
          <w:sz w:val="28"/>
        </w:rPr>
        <w:tab/>
      </w:r>
      <w:r>
        <w:rPr>
          <w:rFonts w:hint="eastAsia" w:ascii="仿宋_GB2312" w:eastAsia="仿宋_GB2312"/>
          <w:sz w:val="28"/>
        </w:rPr>
        <w:tab/>
      </w:r>
      <w:r>
        <w:rPr>
          <w:rFonts w:hint="eastAsia" w:ascii="仿宋_GB2312" w:eastAsia="仿宋_GB2312"/>
          <w:sz w:val="28"/>
        </w:rPr>
        <w:tab/>
      </w:r>
      <w:r>
        <w:rPr>
          <w:rFonts w:hint="eastAsia" w:ascii="仿宋_GB2312" w:eastAsia="仿宋_GB2312"/>
          <w:sz w:val="28"/>
        </w:rPr>
        <w:t>编号：</w:t>
      </w:r>
    </w:p>
    <w:tbl>
      <w:tblPr>
        <w:tblStyle w:val="6"/>
        <w:tblW w:w="985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25"/>
        <w:gridCol w:w="138"/>
        <w:gridCol w:w="1138"/>
        <w:gridCol w:w="92"/>
        <w:gridCol w:w="731"/>
        <w:gridCol w:w="287"/>
        <w:gridCol w:w="288"/>
        <w:gridCol w:w="288"/>
        <w:gridCol w:w="287"/>
        <w:gridCol w:w="10"/>
        <w:gridCol w:w="89"/>
        <w:gridCol w:w="72"/>
        <w:gridCol w:w="117"/>
        <w:gridCol w:w="288"/>
        <w:gridCol w:w="288"/>
        <w:gridCol w:w="46"/>
        <w:gridCol w:w="43"/>
        <w:gridCol w:w="198"/>
        <w:gridCol w:w="288"/>
        <w:gridCol w:w="288"/>
        <w:gridCol w:w="263"/>
        <w:gridCol w:w="13"/>
        <w:gridCol w:w="11"/>
        <w:gridCol w:w="279"/>
        <w:gridCol w:w="9"/>
        <w:gridCol w:w="288"/>
        <w:gridCol w:w="231"/>
        <w:gridCol w:w="57"/>
        <w:gridCol w:w="287"/>
        <w:gridCol w:w="288"/>
        <w:gridCol w:w="288"/>
        <w:gridCol w:w="290"/>
        <w:gridCol w:w="14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2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姓名</w:t>
            </w:r>
          </w:p>
        </w:tc>
        <w:tc>
          <w:tcPr>
            <w:tcW w:w="12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身份</w:t>
            </w: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证号</w:t>
            </w:r>
          </w:p>
        </w:tc>
        <w:tc>
          <w:tcPr>
            <w:tcW w:w="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2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2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2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2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2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近 期</w:t>
            </w: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免 冠</w:t>
            </w: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一 寸</w:t>
            </w: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正 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2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性别</w:t>
            </w:r>
          </w:p>
        </w:tc>
        <w:tc>
          <w:tcPr>
            <w:tcW w:w="12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民族</w:t>
            </w:r>
          </w:p>
        </w:tc>
        <w:tc>
          <w:tcPr>
            <w:tcW w:w="124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8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健康</w:t>
            </w: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状况</w:t>
            </w:r>
          </w:p>
        </w:tc>
        <w:tc>
          <w:tcPr>
            <w:tcW w:w="10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8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政治</w:t>
            </w: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面貌</w:t>
            </w:r>
          </w:p>
        </w:tc>
        <w:tc>
          <w:tcPr>
            <w:tcW w:w="12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4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2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学历</w:t>
            </w:r>
          </w:p>
        </w:tc>
        <w:tc>
          <w:tcPr>
            <w:tcW w:w="321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8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毕业</w:t>
            </w: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时间</w:t>
            </w:r>
          </w:p>
        </w:tc>
        <w:tc>
          <w:tcPr>
            <w:tcW w:w="3078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4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2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eastAsia="仿宋_GB2312"/>
                <w:spacing w:val="-4"/>
                <w:sz w:val="24"/>
                <w:szCs w:val="24"/>
              </w:rPr>
            </w:pPr>
            <w:r>
              <w:rPr>
                <w:rFonts w:hint="eastAsia" w:ascii="仿宋_GB2312" w:eastAsia="仿宋_GB2312"/>
                <w:spacing w:val="-4"/>
                <w:sz w:val="24"/>
                <w:szCs w:val="24"/>
              </w:rPr>
              <w:t>毕业院校</w:t>
            </w:r>
          </w:p>
        </w:tc>
        <w:tc>
          <w:tcPr>
            <w:tcW w:w="406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3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专   业</w:t>
            </w:r>
          </w:p>
        </w:tc>
        <w:tc>
          <w:tcPr>
            <w:tcW w:w="315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98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家庭</w:t>
            </w: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住址</w:t>
            </w:r>
          </w:p>
        </w:tc>
        <w:tc>
          <w:tcPr>
            <w:tcW w:w="4064" w:type="dxa"/>
            <w:gridSpan w:val="15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3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固定电话</w:t>
            </w:r>
          </w:p>
        </w:tc>
        <w:tc>
          <w:tcPr>
            <w:tcW w:w="315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1298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4064" w:type="dxa"/>
            <w:gridSpan w:val="1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3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移动电话</w:t>
            </w:r>
          </w:p>
        </w:tc>
        <w:tc>
          <w:tcPr>
            <w:tcW w:w="315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2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职称或</w:t>
            </w: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专业资格</w:t>
            </w:r>
          </w:p>
        </w:tc>
        <w:tc>
          <w:tcPr>
            <w:tcW w:w="406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3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邮    编</w:t>
            </w:r>
          </w:p>
        </w:tc>
        <w:tc>
          <w:tcPr>
            <w:tcW w:w="315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9855" w:type="dxa"/>
            <w:gridSpan w:val="3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下一栏由全日制普通高校应届毕业生填写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生源地</w:t>
            </w:r>
          </w:p>
        </w:tc>
        <w:tc>
          <w:tcPr>
            <w:tcW w:w="342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right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省     市     县(市、区)</w:t>
            </w:r>
          </w:p>
        </w:tc>
        <w:tc>
          <w:tcPr>
            <w:tcW w:w="181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现户籍所在地</w:t>
            </w:r>
          </w:p>
        </w:tc>
        <w:tc>
          <w:tcPr>
            <w:tcW w:w="3456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right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省     市     县(市、区)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9855" w:type="dxa"/>
            <w:gridSpan w:val="3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下一栏由非全日制普通高校应届毕业生（社会人员）填写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24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现户籍所在地</w:t>
            </w:r>
          </w:p>
        </w:tc>
        <w:tc>
          <w:tcPr>
            <w:tcW w:w="7419" w:type="dxa"/>
            <w:gridSpan w:val="3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  <w:szCs w:val="24"/>
              </w:rPr>
              <w:t>省    市    县（市、区）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1" w:hRule="atLeast"/>
          <w:jc w:val="center"/>
        </w:trPr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个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人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简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历</w:t>
            </w:r>
          </w:p>
        </w:tc>
        <w:tc>
          <w:tcPr>
            <w:tcW w:w="8695" w:type="dxa"/>
            <w:gridSpan w:val="3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00" w:lineRule="exact"/>
              <w:jc w:val="right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（注：个人简历包括教育经历和工作经历、教育经历从高中起）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奖惩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情况</w:t>
            </w:r>
          </w:p>
        </w:tc>
        <w:tc>
          <w:tcPr>
            <w:tcW w:w="8720" w:type="dxa"/>
            <w:gridSpan w:val="3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  <w:jc w:val="center"/>
        </w:trPr>
        <w:tc>
          <w:tcPr>
            <w:tcW w:w="9855" w:type="dxa"/>
            <w:gridSpan w:val="3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本人声明：上述填写内容真实完整。如有不实，本人愿承担一切法律责任。</w:t>
            </w:r>
          </w:p>
          <w:p>
            <w:pPr>
              <w:spacing w:line="400" w:lineRule="exact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声明人（签名）：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5" w:hRule="atLeast"/>
          <w:jc w:val="center"/>
        </w:trPr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资格</w:t>
            </w: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审核</w:t>
            </w: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意见</w:t>
            </w:r>
          </w:p>
        </w:tc>
        <w:tc>
          <w:tcPr>
            <w:tcW w:w="325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firstLine="480" w:firstLineChars="200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spacing w:line="300" w:lineRule="exact"/>
              <w:ind w:firstLine="480" w:firstLineChars="200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spacing w:line="300" w:lineRule="exact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spacing w:line="300" w:lineRule="exact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spacing w:line="300" w:lineRule="exact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（报考单位及主管部门盖章）</w:t>
            </w:r>
          </w:p>
          <w:p>
            <w:pPr>
              <w:spacing w:line="300" w:lineRule="exact"/>
              <w:ind w:firstLine="480" w:firstLineChars="200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spacing w:line="300" w:lineRule="exact"/>
              <w:jc w:val="right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年   月   日    </w:t>
            </w:r>
          </w:p>
        </w:tc>
        <w:tc>
          <w:tcPr>
            <w:tcW w:w="9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身</w:t>
            </w: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份</w:t>
            </w: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证</w:t>
            </w: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复</w:t>
            </w: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印</w:t>
            </w: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件</w:t>
            </w: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粘</w:t>
            </w: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贴</w:t>
            </w: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处</w:t>
            </w:r>
          </w:p>
        </w:tc>
        <w:tc>
          <w:tcPr>
            <w:tcW w:w="4536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</w:tbl>
    <w:p>
      <w:pPr>
        <w:spacing w:line="300" w:lineRule="exact"/>
        <w:rPr>
          <w:rFonts w:hint="eastAsia" w:ascii="仿宋_GB2312" w:hAnsi="宋体" w:eastAsia="仿宋_GB2312"/>
          <w:sz w:val="21"/>
          <w:szCs w:val="21"/>
        </w:rPr>
      </w:pPr>
      <w:r>
        <w:rPr>
          <w:rFonts w:hint="eastAsia" w:ascii="仿宋_GB2312" w:hAnsi="宋体" w:eastAsia="仿宋_GB2312"/>
          <w:sz w:val="21"/>
          <w:szCs w:val="21"/>
        </w:rPr>
        <w:t>注意：1</w:t>
      </w:r>
      <w:r>
        <w:rPr>
          <w:rFonts w:hint="eastAsia" w:ascii="仿宋_GB2312" w:hAnsi="宋体" w:eastAsia="仿宋_GB2312"/>
          <w:sz w:val="21"/>
          <w:szCs w:val="21"/>
          <w:lang w:val="en-US" w:eastAsia="zh-CN"/>
        </w:rPr>
        <w:t>.</w:t>
      </w:r>
      <w:r>
        <w:rPr>
          <w:rFonts w:hint="eastAsia" w:ascii="仿宋_GB2312" w:hAnsi="宋体" w:eastAsia="仿宋_GB2312"/>
          <w:sz w:val="21"/>
          <w:szCs w:val="21"/>
        </w:rPr>
        <w:t>表格内容必须填写齐全，填写时字迹必须清楚工整，切勿潦草。</w:t>
      </w:r>
    </w:p>
    <w:p>
      <w:pPr>
        <w:spacing w:line="300" w:lineRule="exact"/>
        <w:ind w:firstLine="630" w:firstLineChars="300"/>
        <w:rPr>
          <w:rFonts w:hint="eastAsia" w:ascii="仿宋_GB2312" w:eastAsia="仿宋_GB2312"/>
          <w:sz w:val="21"/>
          <w:szCs w:val="21"/>
        </w:rPr>
      </w:pPr>
      <w:bookmarkStart w:id="0" w:name="_GoBack"/>
      <w:bookmarkEnd w:id="0"/>
      <w:r>
        <w:rPr>
          <w:rFonts w:hint="eastAsia" w:ascii="仿宋_GB2312" w:hAnsi="宋体" w:eastAsia="仿宋_GB2312"/>
          <w:sz w:val="21"/>
          <w:szCs w:val="21"/>
        </w:rPr>
        <w:t>2</w:t>
      </w:r>
      <w:r>
        <w:rPr>
          <w:rFonts w:hint="eastAsia" w:ascii="仿宋_GB2312" w:hAnsi="宋体" w:eastAsia="仿宋_GB2312"/>
          <w:sz w:val="21"/>
          <w:szCs w:val="21"/>
          <w:lang w:val="en-US" w:eastAsia="zh-CN"/>
        </w:rPr>
        <w:t>.</w:t>
      </w:r>
      <w:r>
        <w:rPr>
          <w:rFonts w:hint="eastAsia" w:ascii="仿宋_GB2312" w:hAnsi="宋体" w:eastAsia="仿宋_GB2312"/>
          <w:sz w:val="21"/>
          <w:szCs w:val="21"/>
        </w:rPr>
        <w:t>生源地是指经高考，被高校录取时户口所在地。</w:t>
      </w:r>
    </w:p>
    <w:p>
      <w:pPr>
        <w:spacing w:line="500" w:lineRule="exact"/>
        <w:rPr>
          <w:rFonts w:hint="eastAsia" w:ascii="仿宋_GB2312" w:hAnsi="宋体" w:eastAsia="仿宋_GB2312"/>
        </w:rPr>
        <w:sectPr>
          <w:headerReference r:id="rId3" w:type="default"/>
          <w:pgSz w:w="11907" w:h="16839"/>
          <w:pgMar w:top="1020" w:right="1418" w:bottom="1020" w:left="1418" w:header="851" w:footer="992" w:gutter="0"/>
          <w:cols w:space="720" w:num="1"/>
          <w:docGrid w:type="linesAndChars" w:linePitch="312" w:charSpace="0"/>
        </w:sectPr>
      </w:pPr>
    </w:p>
    <w:p>
      <w:pPr>
        <w:spacing w:line="52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附件3</w:t>
      </w:r>
    </w:p>
    <w:p>
      <w:pPr>
        <w:spacing w:line="520" w:lineRule="exact"/>
        <w:jc w:val="center"/>
        <w:rPr>
          <w:rFonts w:hint="eastAsia" w:ascii="方正小标宋简体" w:hAnsi="宋体" w:eastAsia="方正小标宋简体" w:cs="宋体"/>
          <w:sz w:val="44"/>
          <w:szCs w:val="44"/>
        </w:rPr>
      </w:pPr>
      <w:r>
        <w:rPr>
          <w:rFonts w:hint="eastAsia" w:ascii="方正小标宋简体" w:hAnsi="宋体" w:eastAsia="方正小标宋简体" w:cs="宋体"/>
          <w:sz w:val="44"/>
          <w:szCs w:val="44"/>
        </w:rPr>
        <w:t>金华市婺城区第一人民医院简介</w:t>
      </w:r>
    </w:p>
    <w:p>
      <w:pPr>
        <w:spacing w:line="520" w:lineRule="exact"/>
        <w:ind w:firstLine="560" w:firstLineChars="200"/>
        <w:rPr>
          <w:rFonts w:hint="eastAsia" w:ascii="仿宋_GB2312" w:hAnsi="宋体" w:eastAsia="仿宋_GB2312" w:cs="宋体"/>
          <w:sz w:val="28"/>
          <w:szCs w:val="28"/>
        </w:rPr>
      </w:pPr>
    </w:p>
    <w:p>
      <w:pPr>
        <w:spacing w:line="520" w:lineRule="exact"/>
        <w:ind w:firstLine="640" w:firstLineChars="200"/>
        <w:rPr>
          <w:rFonts w:hint="eastAsia" w:ascii="仿宋_GB2312" w:hAnsi="宋体" w:eastAsia="仿宋_GB2312" w:cs="宋体"/>
        </w:rPr>
      </w:pPr>
      <w:r>
        <w:rPr>
          <w:rFonts w:hint="eastAsia" w:ascii="仿宋_GB2312" w:hAnsi="宋体" w:eastAsia="仿宋_GB2312" w:cs="宋体"/>
        </w:rPr>
        <w:t>金华市婺城区第一人民医院（金华市中心医院金西院区）创建于1941年，是金华经济技术开发区范围内唯一一家二级乙等综合性医院。2015年3月，由金华市中心医院全面托管，增挂“金华市中心医院金西院区”牌子。医院现有职工256人，其中卫技人员223人，高级职称人员21人，中级职称人员46人，本科及以上学历 128人，大专学历 42人，承担汤溪镇、罗埠镇、洋埠镇以及周边乡镇20余万人口的医疗、预防、保健等工作。医院于2016年1月整体搬迁至新院区，总用地面积达3.64万平方米，按二级甲等医院规模建造，设定床位600张，</w:t>
      </w:r>
      <w:r>
        <w:rPr>
          <w:rFonts w:hint="eastAsia" w:ascii="仿宋_GB2312" w:eastAsia="仿宋_GB2312"/>
        </w:rPr>
        <w:t>其中第一期294张。</w:t>
      </w:r>
      <w:r>
        <w:rPr>
          <w:rFonts w:hint="eastAsia" w:ascii="仿宋_GB2312" w:hAnsi="宋体" w:eastAsia="仿宋_GB2312" w:cs="宋体"/>
        </w:rPr>
        <w:t>包括：门诊楼、医技楼、急诊楼、住院楼、发热门诊、食堂、专家公寓及其他配套用房。各临床门诊诊室按科室分块，布局合理。住院病房以两人间为主，设有卫生间、洗浴室、电视、中央空调，使病人拥有良好的休息环境。</w:t>
      </w:r>
    </w:p>
    <w:p>
      <w:pPr>
        <w:pStyle w:val="7"/>
        <w:ind w:firstLine="800" w:firstLineChars="250"/>
        <w:rPr>
          <w:rFonts w:hint="eastAsia" w:ascii="仿宋_GB2312" w:eastAsia="仿宋_GB2312"/>
          <w:szCs w:val="32"/>
        </w:rPr>
      </w:pPr>
      <w:r>
        <w:rPr>
          <w:rFonts w:hint="eastAsia" w:ascii="仿宋_GB2312" w:hAnsi="宋体" w:eastAsia="仿宋_GB2312" w:cs="宋体"/>
          <w:szCs w:val="32"/>
        </w:rPr>
        <w:t>医院新投入使用的层流手术室，拥有百级、万级、十万级手术室共计6间，全部配置LED母子无影灯及电动手术床，奥林巴斯高清电子腹腔镜，美国GE 移动式C型臂X光机；消毒供应系统拥有脉动真空高压无菌器、干燥柜和全自动清洗机；重症监护病房拥有多功能呼吸机、飞利浦除颤仪、起搏器、彩超、可视软喉镜、丹麦血气分析仪、纤维支气管镜、电子升降温设备等各种急救；超声科增配了飞利浦EPIQ5高端智能超声诊断系统，还有麦迪逊四维彩超、美国GE三维彩超等共计4台；内镜中心增配</w:t>
      </w:r>
      <w:r>
        <w:rPr>
          <w:rFonts w:hint="eastAsia" w:ascii="仿宋_GB2312" w:eastAsia="仿宋_GB2312"/>
          <w:szCs w:val="32"/>
        </w:rPr>
        <w:t>奥林巴斯高清电子胃镜、电子肠镜、电子支气管镜；</w:t>
      </w:r>
      <w:r>
        <w:rPr>
          <w:rFonts w:hint="eastAsia" w:ascii="仿宋_GB2312" w:hAnsi="宋体" w:eastAsia="仿宋_GB2312" w:cs="宋体"/>
          <w:szCs w:val="32"/>
        </w:rPr>
        <w:t>检验科拥有贝克曼库尔特全自动生化仪、罗氏Cobas</w:t>
      </w:r>
      <w:r>
        <w:rPr>
          <w:rFonts w:hint="eastAsia" w:ascii="宋体" w:hAnsi="宋体" w:eastAsia="仿宋_GB2312" w:cs="宋体"/>
          <w:szCs w:val="32"/>
        </w:rPr>
        <w:t> </w:t>
      </w:r>
      <w:r>
        <w:rPr>
          <w:rFonts w:hint="eastAsia" w:ascii="仿宋_GB2312" w:hAnsi="宋体" w:eastAsia="仿宋_GB2312" w:cs="宋体"/>
          <w:szCs w:val="32"/>
        </w:rPr>
        <w:t>e411全自动免疫分析仪等大型仪器设备；放射科拥有</w:t>
      </w:r>
      <w:r>
        <w:rPr>
          <w:rFonts w:hint="eastAsia" w:ascii="仿宋_GB2312" w:eastAsia="仿宋_GB2312"/>
          <w:szCs w:val="32"/>
        </w:rPr>
        <w:t>西门子双排螺旋CT和美国GE数字化医用X射线摄影系统DR-F，血液透析室拥有</w:t>
      </w:r>
      <w:r>
        <w:rPr>
          <w:rFonts w:hint="eastAsia" w:ascii="仿宋_GB2312" w:eastAsia="仿宋_GB2312"/>
          <w:color w:val="000000"/>
          <w:szCs w:val="32"/>
        </w:rPr>
        <w:t>瑞典金宝双极反渗消毒水处理机、</w:t>
      </w:r>
      <w:r>
        <w:rPr>
          <w:rFonts w:hint="eastAsia" w:ascii="仿宋_GB2312" w:eastAsia="仿宋_GB2312"/>
          <w:color w:val="auto"/>
          <w:szCs w:val="32"/>
          <w:u w:val="none"/>
        </w:rPr>
        <w:fldChar w:fldCharType="begin"/>
      </w:r>
      <w:r>
        <w:rPr>
          <w:rFonts w:hint="eastAsia" w:ascii="仿宋_GB2312" w:eastAsia="仿宋_GB2312"/>
          <w:color w:val="auto"/>
          <w:szCs w:val="32"/>
          <w:u w:val="none"/>
        </w:rPr>
        <w:instrText xml:space="preserve"> HYPERLINK "http://news.hexun.com/germany/index.html" \t "_blank" </w:instrText>
      </w:r>
      <w:r>
        <w:rPr>
          <w:rFonts w:hint="eastAsia" w:ascii="仿宋_GB2312" w:eastAsia="仿宋_GB2312"/>
          <w:color w:val="auto"/>
          <w:szCs w:val="32"/>
          <w:u w:val="none"/>
        </w:rPr>
        <w:fldChar w:fldCharType="separate"/>
      </w:r>
      <w:r>
        <w:rPr>
          <w:rStyle w:val="5"/>
          <w:rFonts w:hint="eastAsia" w:ascii="仿宋_GB2312" w:eastAsia="仿宋_GB2312"/>
          <w:color w:val="auto"/>
          <w:szCs w:val="32"/>
          <w:u w:val="none"/>
        </w:rPr>
        <w:t>德国</w:t>
      </w:r>
      <w:r>
        <w:rPr>
          <w:rFonts w:hint="eastAsia" w:ascii="仿宋_GB2312" w:eastAsia="仿宋_GB2312"/>
          <w:color w:val="auto"/>
          <w:szCs w:val="32"/>
          <w:u w:val="none"/>
        </w:rPr>
        <w:fldChar w:fldCharType="end"/>
      </w:r>
      <w:r>
        <w:rPr>
          <w:rFonts w:hint="eastAsia" w:ascii="仿宋_GB2312" w:eastAsia="仿宋_GB2312"/>
          <w:color w:val="000000"/>
          <w:szCs w:val="32"/>
        </w:rPr>
        <w:t>费森尤斯双泵血滤机及金宝单泵血透机，</w:t>
      </w:r>
      <w:r>
        <w:rPr>
          <w:rFonts w:hint="eastAsia" w:ascii="仿宋_GB2312" w:hAnsi="宋体" w:eastAsia="仿宋_GB2312" w:cs="宋体"/>
          <w:szCs w:val="32"/>
        </w:rPr>
        <w:t>还有采购中的磁共振，大大提升了医院的综合实力。</w:t>
      </w:r>
    </w:p>
    <w:p>
      <w:pPr>
        <w:spacing w:line="520" w:lineRule="exact"/>
        <w:ind w:firstLine="640" w:firstLineChars="200"/>
        <w:rPr>
          <w:rFonts w:hint="eastAsia" w:ascii="仿宋_GB2312" w:hAnsi="宋体" w:eastAsia="仿宋_GB2312" w:cs="宋体"/>
        </w:rPr>
      </w:pPr>
      <w:r>
        <w:rPr>
          <w:rFonts w:hint="eastAsia" w:ascii="仿宋_GB2312" w:hAnsi="宋体" w:eastAsia="仿宋_GB2312" w:cs="宋体"/>
        </w:rPr>
        <w:t>金华市中心医院总院在技术、专家等全方位支持金西院区，每月派驻心血管内科、呼吸内科、消化内科、内分泌科、神经内科、外科、骨科、ICU、血液透析室、皮肤科、儿科、妇产科、康复科、耳鼻喉科、眼科、放射科、超声科、心电图、病理科等各临床科室专家，以及30余名对口支援下乡工作的临床医生，在金西院区开展全面的诊疗服务，使金西院区的医疗质量和服务水平得到真正提高。</w:t>
      </w:r>
    </w:p>
    <w:p>
      <w:pPr>
        <w:spacing w:line="520" w:lineRule="exact"/>
        <w:ind w:firstLine="640" w:firstLineChars="200"/>
        <w:rPr>
          <w:rFonts w:hint="eastAsia" w:ascii="仿宋_GB2312" w:hAnsi="宋体" w:eastAsia="仿宋_GB2312" w:cs="宋体"/>
        </w:rPr>
      </w:pPr>
      <w:r>
        <w:rPr>
          <w:rFonts w:hint="eastAsia" w:ascii="仿宋_GB2312" w:hAnsi="宋体" w:eastAsia="仿宋_GB2312" w:cs="宋体"/>
        </w:rPr>
        <w:t>在金西院区，有点名预约金华市中心医院总院专家手术的便民措施，实现病人自己决定由总院的哪位专家为自己手术。在金西院区，病人可以完成交费和预约手续，直接到总院进行核磁共振等相关检查业务，让金西百姓在家门口就能享受到“三甲”医院的诊疗服务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BB14E9"/>
    <w:rsid w:val="01FC1473"/>
    <w:rsid w:val="0E8C4212"/>
    <w:rsid w:val="1706061C"/>
    <w:rsid w:val="18247727"/>
    <w:rsid w:val="1C3F230E"/>
    <w:rsid w:val="20AE2291"/>
    <w:rsid w:val="22A43165"/>
    <w:rsid w:val="25C348F2"/>
    <w:rsid w:val="26221FD0"/>
    <w:rsid w:val="289C55A3"/>
    <w:rsid w:val="2B555885"/>
    <w:rsid w:val="2B7371BF"/>
    <w:rsid w:val="37C54571"/>
    <w:rsid w:val="3FD0355B"/>
    <w:rsid w:val="56C03DB3"/>
    <w:rsid w:val="5A4001CD"/>
    <w:rsid w:val="68924825"/>
    <w:rsid w:val="7666276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华文仿宋" w:asciiTheme="minorHAnsi" w:hAnsiTheme="minorHAnsi" w:cstheme="minorBidi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link w:val="4"/>
    <w:semiHidden/>
    <w:qFormat/>
    <w:uiPriority w:val="0"/>
    <w:rPr>
      <w:rFonts w:ascii="Tahoma" w:hAnsi="Tahoma" w:eastAsia="宋体"/>
      <w:sz w:val="24"/>
      <w:szCs w:val="20"/>
    </w:rPr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4">
    <w:name w:val="_Style 5"/>
    <w:basedOn w:val="1"/>
    <w:link w:val="3"/>
    <w:qFormat/>
    <w:uiPriority w:val="0"/>
    <w:rPr>
      <w:rFonts w:ascii="Tahoma" w:hAnsi="Tahoma" w:eastAsia="宋体"/>
      <w:sz w:val="24"/>
      <w:szCs w:val="20"/>
    </w:rPr>
  </w:style>
  <w:style w:type="character" w:styleId="5">
    <w:name w:val="Hyperlink"/>
    <w:qFormat/>
    <w:uiPriority w:val="0"/>
    <w:rPr>
      <w:rFonts w:cs="Times New Roman"/>
      <w:color w:val="0000FF"/>
      <w:u w:val="single"/>
    </w:rPr>
  </w:style>
  <w:style w:type="paragraph" w:customStyle="1" w:styleId="7">
    <w:name w:val="列出段落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李剑峰</cp:lastModifiedBy>
  <dcterms:modified xsi:type="dcterms:W3CDTF">2018-01-24T07:09:07Z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