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2A" w:rsidRDefault="006F702A" w:rsidP="006F702A">
      <w:pPr>
        <w:spacing w:line="52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附件1</w:t>
      </w:r>
    </w:p>
    <w:p w:rsidR="006F702A" w:rsidRDefault="006F702A" w:rsidP="006F702A">
      <w:pPr>
        <w:tabs>
          <w:tab w:val="left" w:pos="2161"/>
        </w:tabs>
        <w:spacing w:line="52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b/>
          <w:bCs/>
          <w:color w:val="000000"/>
          <w:sz w:val="28"/>
          <w:szCs w:val="28"/>
        </w:rPr>
        <w:t>椒江简介</w:t>
      </w:r>
    </w:p>
    <w:p w:rsidR="006F702A" w:rsidRDefault="006F702A" w:rsidP="006F702A">
      <w:pPr>
        <w:autoSpaceDN w:val="0"/>
        <w:spacing w:line="52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b/>
          <w:color w:val="000000"/>
          <w:sz w:val="28"/>
          <w:szCs w:val="28"/>
        </w:rPr>
        <w:t xml:space="preserve"> </w:t>
      </w:r>
      <w:r>
        <w:rPr>
          <w:rFonts w:ascii="仿宋_GB2312" w:eastAsia="仿宋_GB2312" w:hAnsi="仿宋_GB2312" w:cs="仿宋_GB2312" w:hint="eastAsia"/>
          <w:color w:val="000000"/>
          <w:sz w:val="28"/>
          <w:szCs w:val="28"/>
        </w:rPr>
        <w:t xml:space="preserve">   </w:t>
      </w:r>
    </w:p>
    <w:p w:rsidR="006F702A" w:rsidRDefault="006F702A" w:rsidP="006F702A">
      <w:pPr>
        <w:autoSpaceDN w:val="0"/>
        <w:spacing w:line="52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b/>
          <w:color w:val="000000"/>
          <w:sz w:val="28"/>
          <w:szCs w:val="28"/>
        </w:rPr>
        <w:t xml:space="preserve">    </w:t>
      </w:r>
      <w:r>
        <w:rPr>
          <w:rFonts w:ascii="仿宋_GB2312" w:eastAsia="仿宋_GB2312" w:hAnsi="仿宋_GB2312" w:cs="仿宋_GB2312" w:hint="eastAsia"/>
          <w:color w:val="000000"/>
          <w:sz w:val="28"/>
          <w:szCs w:val="28"/>
        </w:rPr>
        <w:t>椒江是浙江省台州市的主城区。位于浙江省沿海中部台州湾入口处，因海而名，凭海而立，傍海而居，旧称“海门”，素有“小上海”之称，是一座山海秀丽的新兴港城,一座清新雅致的品质之城。椒江是东部沿海最具活力的城市之一，始终走在发展和改革的最前沿，“敢为天下先”的气魄铸就了椒江的大气兼容、海纳百川。椒江气候宜人，交通便利，可乘高铁到杭州、上海仅需2至3小时。这里物产丰饶，风光旖旎，是全国文明城市、国家卫生城市、国家园林城市与最具幸福感城市。</w:t>
      </w:r>
    </w:p>
    <w:p w:rsidR="006F702A" w:rsidRDefault="006F702A" w:rsidP="006F702A">
      <w:pPr>
        <w:widowControl/>
        <w:shd w:val="clear" w:color="auto" w:fill="FFFFFF"/>
        <w:spacing w:line="520" w:lineRule="exac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浙江省台州市椒江区卫生和计划生育系统共有各级各类医疗卫生计生单位374家，其中三级乙等综合性医院和中医医院各1家，公立专科医院、疾控中心、卫生监督所、妇幼保健院、卫生进修学校、职工医院各1家，民营医院16家，镇、街道卫生院（社区卫生服务中心）10家，社区卫生服务站32家。</w:t>
      </w:r>
    </w:p>
    <w:p w:rsidR="006F702A" w:rsidRDefault="006F702A" w:rsidP="006F702A">
      <w:pPr>
        <w:autoSpaceDN w:val="0"/>
        <w:spacing w:line="520" w:lineRule="exact"/>
        <w:ind w:firstLineChars="200" w:firstLine="560"/>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b/>
          <w:bCs/>
          <w:color w:val="000000"/>
          <w:sz w:val="28"/>
          <w:szCs w:val="28"/>
        </w:rPr>
        <w:t>椒江区疾病预防控制中心</w:t>
      </w:r>
      <w:r>
        <w:rPr>
          <w:rFonts w:ascii="仿宋_GB2312" w:eastAsia="仿宋_GB2312" w:hAnsi="仿宋_GB2312" w:cs="仿宋_GB2312" w:hint="eastAsia"/>
          <w:color w:val="000000"/>
          <w:kern w:val="0"/>
          <w:sz w:val="28"/>
          <w:szCs w:val="28"/>
        </w:rPr>
        <w:t>是一家隶属于椒江区卫生和计划生育局的公益一类全额拨款事业单位。:</w:t>
      </w:r>
      <w:r>
        <w:rPr>
          <w:rFonts w:ascii="仿宋_GB2312" w:eastAsia="仿宋_GB2312" w:hAnsi="仿宋_GB2312" w:cs="仿宋_GB2312" w:hint="eastAsia"/>
          <w:color w:val="000000"/>
          <w:sz w:val="28"/>
          <w:szCs w:val="28"/>
        </w:rPr>
        <w:t>主要负责全区</w:t>
      </w:r>
      <w:r>
        <w:rPr>
          <w:rFonts w:ascii="仿宋_GB2312" w:eastAsia="仿宋_GB2312" w:hAnsi="仿宋_GB2312" w:cs="仿宋_GB2312" w:hint="eastAsia"/>
          <w:color w:val="000000"/>
          <w:kern w:val="0"/>
          <w:sz w:val="28"/>
          <w:szCs w:val="28"/>
        </w:rPr>
        <w:t>传染病、寄生虫病、地方病、非传染性疾病等预防与控制；突发公共卫生事件和灾害疫情应急处置；疫情及健康相关因素信息管理；健康危害因素监测与干预；疾病病原生物监测；健康教育与健康促进，对公众进行健康指导和不良健康行为干预；疾病预防控制技术管理与应用研究指导等。</w:t>
      </w:r>
    </w:p>
    <w:p w:rsidR="006F702A" w:rsidRDefault="006F702A" w:rsidP="006F702A">
      <w:pPr>
        <w:widowControl/>
        <w:shd w:val="clear" w:color="auto" w:fill="FFFFFF"/>
        <w:spacing w:line="520" w:lineRule="exact"/>
        <w:ind w:firstLineChars="200" w:firstLine="560"/>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b/>
          <w:color w:val="000000"/>
          <w:kern w:val="0"/>
          <w:sz w:val="28"/>
          <w:szCs w:val="28"/>
        </w:rPr>
        <w:t>台州市椒江区妇幼保健院</w:t>
      </w:r>
      <w:r>
        <w:rPr>
          <w:rFonts w:ascii="仿宋_GB2312" w:eastAsia="仿宋_GB2312" w:hAnsi="仿宋_GB2312" w:cs="仿宋_GB2312" w:hint="eastAsia"/>
          <w:bCs/>
          <w:color w:val="000000"/>
          <w:kern w:val="0"/>
          <w:sz w:val="28"/>
          <w:szCs w:val="28"/>
        </w:rPr>
        <w:t>（妇</w:t>
      </w:r>
      <w:r>
        <w:rPr>
          <w:rFonts w:ascii="仿宋_GB2312" w:eastAsia="仿宋_GB2312" w:hAnsi="仿宋_GB2312" w:cs="仿宋_GB2312" w:hint="eastAsia"/>
          <w:color w:val="000000"/>
          <w:kern w:val="0"/>
          <w:sz w:val="28"/>
          <w:szCs w:val="28"/>
        </w:rPr>
        <w:t>幼保健计划生育服务中心）于2016年由原椒江区妇幼保健所和计划生育技术服务指导站整合而成，是一家隶属于椒江区卫生和计划生育局的公益二类差额拨款事业单位，目前已是上海市红房子妇产科医院技术协作单位。新院区位于椒江区滨</w:t>
      </w:r>
      <w:r>
        <w:rPr>
          <w:rFonts w:ascii="仿宋_GB2312" w:eastAsia="仿宋_GB2312" w:hAnsi="仿宋_GB2312" w:cs="仿宋_GB2312" w:hint="eastAsia"/>
          <w:color w:val="000000"/>
          <w:kern w:val="0"/>
          <w:sz w:val="28"/>
          <w:szCs w:val="28"/>
        </w:rPr>
        <w:lastRenderedPageBreak/>
        <w:t>江乌石产业集聚区地块，是椒江区政府重点建设项目。项目规划总用地面积96.2亩，总建筑面积107000平方米，总投资额为9.68亿元，项目规模达三级妇幼保健院标准，规划设计床位400张，配备医务人员840人，预计将于2020年投入运营。新院建成后将集妇女儿童医疗、急救、预防保健、康复、科研、教学于一体，是全区的业务指导中心。致力于建设全台州最先进、最高端的妇幼保健机构，满足区域内及周边辐射区域的妇女儿童就医需求。新院发展前景广阔，将为员工提供更多渠道和更宽广的职业发展机遇。</w:t>
      </w:r>
    </w:p>
    <w:p w:rsidR="006F702A" w:rsidRDefault="006F702A" w:rsidP="006F702A">
      <w:pPr>
        <w:autoSpaceDN w:val="0"/>
        <w:spacing w:line="52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b/>
          <w:color w:val="000000"/>
          <w:sz w:val="28"/>
          <w:szCs w:val="28"/>
        </w:rPr>
        <w:t>各镇街道社区卫生服务中心（卫生院）</w:t>
      </w:r>
      <w:r>
        <w:rPr>
          <w:rFonts w:ascii="仿宋_GB2312" w:eastAsia="仿宋_GB2312" w:hAnsi="仿宋_GB2312" w:cs="仿宋_GB2312" w:hint="eastAsia"/>
          <w:bCs/>
          <w:color w:val="000000"/>
          <w:sz w:val="28"/>
          <w:szCs w:val="28"/>
        </w:rPr>
        <w:t>是</w:t>
      </w:r>
      <w:r>
        <w:rPr>
          <w:rFonts w:ascii="仿宋_GB2312" w:eastAsia="仿宋_GB2312" w:hAnsi="仿宋_GB2312" w:cs="仿宋_GB2312" w:hint="eastAsia"/>
          <w:color w:val="000000"/>
          <w:kern w:val="0"/>
          <w:sz w:val="28"/>
          <w:szCs w:val="28"/>
        </w:rPr>
        <w:t>隶属于椒江区卫生和计划生育局的公益二类差额拨款事业单位。</w:t>
      </w:r>
      <w:r>
        <w:rPr>
          <w:rFonts w:ascii="仿宋_GB2312" w:eastAsia="仿宋_GB2312" w:hAnsi="仿宋_GB2312" w:cs="仿宋_GB2312" w:hint="eastAsia"/>
          <w:color w:val="000000"/>
          <w:sz w:val="28"/>
          <w:szCs w:val="28"/>
        </w:rPr>
        <w:t>主要是为辖区内居民提供预防、医疗、保健、康复、健康教育和计划生育技术服务等“六位一体”的服务。主要开展常见病、多发病的诊疗、护理；贯彻落实国家基本药物制度，实施基本药物零差率销售；开展康复治疗、训练，提供计划生育技术指导与服务；承担对村卫生室的业务管理；建立居民健康档案、健康教育、预防接种、传染病防治、慢性病管理、儿童保健、孕产妇保健等；协助处置突发</w:t>
      </w:r>
      <w:r>
        <w:rPr>
          <w:rFonts w:ascii="仿宋_GB2312" w:eastAsia="仿宋_GB2312" w:hAnsi="宋体" w:hint="eastAsia"/>
          <w:color w:val="000000"/>
          <w:sz w:val="28"/>
          <w:szCs w:val="28"/>
        </w:rPr>
        <w:t>公共卫生事件。</w:t>
      </w:r>
      <w:r>
        <w:rPr>
          <w:rFonts w:ascii="仿宋_GB2312" w:eastAsia="仿宋_GB2312" w:hAnsi="仿宋_GB2312" w:cs="仿宋_GB2312" w:hint="eastAsia"/>
          <w:color w:val="000000"/>
          <w:sz w:val="28"/>
          <w:szCs w:val="28"/>
        </w:rPr>
        <w:t>近年来先后投入2.4亿元，加强基础设施配备整体改造提升，截至目前，已陆续扩建、改建4家，新建、迁建3家，并为各单位添置B超、DR、心电图、全自动生化分析仪、血球计数仪、尿液分析仪等“新六件”。竣工后全区基层医疗机构用房由15089平方米增加到46450平方米，床位数</w:t>
      </w:r>
      <w:r>
        <w:rPr>
          <w:rFonts w:ascii="仿宋_GB2312" w:eastAsia="仿宋_GB2312" w:hAnsi="仿宋_GB2312" w:cs="仿宋_GB2312"/>
          <w:color w:val="000000"/>
          <w:sz w:val="28"/>
          <w:szCs w:val="28"/>
        </w:rPr>
        <w:t>将</w:t>
      </w:r>
      <w:r>
        <w:rPr>
          <w:rFonts w:ascii="仿宋_GB2312" w:eastAsia="仿宋_GB2312" w:hAnsi="仿宋_GB2312" w:cs="仿宋_GB2312" w:hint="eastAsia"/>
          <w:color w:val="000000"/>
          <w:sz w:val="28"/>
          <w:szCs w:val="28"/>
        </w:rPr>
        <w:t>增</w:t>
      </w:r>
      <w:r>
        <w:rPr>
          <w:rFonts w:ascii="仿宋_GB2312" w:eastAsia="仿宋_GB2312" w:hAnsi="仿宋_GB2312" w:cs="仿宋_GB2312"/>
          <w:color w:val="000000"/>
          <w:sz w:val="28"/>
          <w:szCs w:val="28"/>
        </w:rPr>
        <w:t>加到近400</w:t>
      </w:r>
      <w:r>
        <w:rPr>
          <w:rFonts w:ascii="仿宋_GB2312" w:eastAsia="仿宋_GB2312" w:hAnsi="仿宋_GB2312" w:cs="仿宋_GB2312" w:hint="eastAsia"/>
          <w:color w:val="000000"/>
          <w:sz w:val="28"/>
          <w:szCs w:val="28"/>
        </w:rPr>
        <w:t>张。</w:t>
      </w:r>
    </w:p>
    <w:p w:rsidR="006F702A" w:rsidRDefault="006F702A" w:rsidP="006F702A">
      <w:pPr>
        <w:autoSpaceDN w:val="0"/>
        <w:spacing w:line="520" w:lineRule="exact"/>
        <w:ind w:firstLineChars="200" w:firstLine="480"/>
        <w:rPr>
          <w:rFonts w:ascii="仿宋_GB2312" w:eastAsia="仿宋_GB2312"/>
          <w:color w:val="000000"/>
          <w:sz w:val="24"/>
        </w:rPr>
      </w:pPr>
    </w:p>
    <w:p w:rsidR="006F702A" w:rsidRDefault="006F702A" w:rsidP="006F702A">
      <w:pPr>
        <w:spacing w:line="520" w:lineRule="exact"/>
        <w:ind w:firstLine="211"/>
        <w:jc w:val="left"/>
        <w:rPr>
          <w:rFonts w:hint="eastAsia"/>
          <w:color w:val="000000"/>
        </w:rPr>
      </w:pPr>
    </w:p>
    <w:p w:rsidR="006F702A" w:rsidRDefault="006F702A" w:rsidP="006F702A">
      <w:pPr>
        <w:spacing w:line="520" w:lineRule="exact"/>
        <w:ind w:firstLine="211"/>
        <w:jc w:val="left"/>
        <w:rPr>
          <w:rFonts w:hint="eastAsia"/>
          <w:color w:val="000000"/>
        </w:rPr>
      </w:pPr>
    </w:p>
    <w:p w:rsidR="006F702A" w:rsidRDefault="006F702A" w:rsidP="006F702A">
      <w:pPr>
        <w:widowControl/>
        <w:rPr>
          <w:rFonts w:ascii="仿宋_GB2312" w:eastAsia="仿宋_GB2312" w:hint="eastAsia"/>
          <w:color w:val="000000"/>
          <w:kern w:val="0"/>
          <w:sz w:val="24"/>
        </w:rPr>
      </w:pPr>
    </w:p>
    <w:p w:rsidR="006F702A" w:rsidRDefault="006F702A" w:rsidP="006F702A">
      <w:pPr>
        <w:widowControl/>
        <w:rPr>
          <w:rFonts w:ascii="仿宋_GB2312" w:eastAsia="仿宋_GB2312" w:hint="eastAsia"/>
          <w:color w:val="000000"/>
          <w:kern w:val="0"/>
          <w:sz w:val="24"/>
        </w:rPr>
      </w:pPr>
    </w:p>
    <w:p w:rsidR="006F702A" w:rsidRDefault="006F702A" w:rsidP="006F702A">
      <w:pPr>
        <w:widowControl/>
        <w:rPr>
          <w:rFonts w:ascii="仿宋_GB2312" w:eastAsia="仿宋_GB2312" w:hint="eastAsia"/>
          <w:color w:val="000000"/>
          <w:kern w:val="0"/>
          <w:sz w:val="24"/>
        </w:rPr>
      </w:pPr>
    </w:p>
    <w:p w:rsidR="006F702A" w:rsidRDefault="006F702A" w:rsidP="006F702A">
      <w:pPr>
        <w:widowControl/>
        <w:rPr>
          <w:rFonts w:ascii="仿宋_GB2312" w:eastAsia="仿宋_GB2312" w:hint="eastAsia"/>
          <w:color w:val="000000"/>
          <w:kern w:val="0"/>
          <w:sz w:val="24"/>
        </w:rPr>
      </w:pPr>
    </w:p>
    <w:p w:rsidR="006F702A" w:rsidRDefault="006F702A" w:rsidP="006F702A">
      <w:pPr>
        <w:widowControl/>
        <w:rPr>
          <w:rFonts w:ascii="仿宋_GB2312" w:eastAsia="仿宋_GB2312" w:hint="eastAsia"/>
          <w:color w:val="000000"/>
          <w:kern w:val="0"/>
          <w:sz w:val="24"/>
        </w:rPr>
      </w:pPr>
    </w:p>
    <w:p w:rsidR="00313471" w:rsidRPr="006F702A" w:rsidRDefault="00313471"/>
    <w:sectPr w:rsidR="00313471" w:rsidRPr="006F70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471" w:rsidRDefault="00313471" w:rsidP="006F702A">
      <w:r>
        <w:separator/>
      </w:r>
    </w:p>
  </w:endnote>
  <w:endnote w:type="continuationSeparator" w:id="1">
    <w:p w:rsidR="00313471" w:rsidRDefault="00313471" w:rsidP="006F7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471" w:rsidRDefault="00313471" w:rsidP="006F702A">
      <w:r>
        <w:separator/>
      </w:r>
    </w:p>
  </w:footnote>
  <w:footnote w:type="continuationSeparator" w:id="1">
    <w:p w:rsidR="00313471" w:rsidRDefault="00313471" w:rsidP="006F7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702A"/>
    <w:rsid w:val="00313471"/>
    <w:rsid w:val="006F7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70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702A"/>
    <w:rPr>
      <w:sz w:val="18"/>
      <w:szCs w:val="18"/>
    </w:rPr>
  </w:style>
  <w:style w:type="paragraph" w:styleId="a4">
    <w:name w:val="footer"/>
    <w:basedOn w:val="a"/>
    <w:link w:val="Char0"/>
    <w:uiPriority w:val="99"/>
    <w:semiHidden/>
    <w:unhideWhenUsed/>
    <w:rsid w:val="006F70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70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1098</Characters>
  <Application>Microsoft Office Word</Application>
  <DocSecurity>0</DocSecurity>
  <Lines>9</Lines>
  <Paragraphs>2</Paragraphs>
  <ScaleCrop>false</ScaleCrop>
  <Company>Microsoft</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2018-01-11T07:29:00Z</dcterms:created>
  <dcterms:modified xsi:type="dcterms:W3CDTF">2018-01-11T07:29:00Z</dcterms:modified>
</cp:coreProperties>
</file>