
<file path=[Content_Types].xml><?xml version="1.0" encoding="utf-8"?>
<Types xmlns="http://schemas.openxmlformats.org/package/2006/content-types">
  <Default Extension="xml" ContentType="application/xml"/>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黑体" w:hAnsi="宋体" w:eastAsia="黑体"/>
          <w:sz w:val="44"/>
          <w:szCs w:val="44"/>
        </w:rPr>
      </w:pPr>
      <w:r>
        <w:rPr>
          <w:rFonts w:hint="eastAsia" w:ascii="黑体" w:hAnsi="宋体" w:eastAsia="黑体"/>
          <w:sz w:val="44"/>
          <w:szCs w:val="44"/>
        </w:rPr>
        <w:t>新疆公安厅警卫局招收2018年度普通高等学校</w:t>
      </w:r>
      <w:r>
        <w:rPr>
          <w:rFonts w:hint="eastAsia" w:ascii="黑体" w:hAnsi="宋体" w:eastAsia="黑体"/>
          <w:sz w:val="44"/>
          <w:szCs w:val="44"/>
          <w:lang w:eastAsia="zh-CN"/>
        </w:rPr>
        <w:t>应届</w:t>
      </w:r>
      <w:bookmarkStart w:id="0" w:name="_GoBack"/>
      <w:bookmarkEnd w:id="0"/>
      <w:r>
        <w:rPr>
          <w:rFonts w:hint="eastAsia" w:ascii="黑体" w:hAnsi="宋体" w:eastAsia="黑体"/>
          <w:sz w:val="44"/>
          <w:szCs w:val="44"/>
        </w:rPr>
        <w:t>毕业生简章</w:t>
      </w:r>
    </w:p>
    <w:p>
      <w:pPr>
        <w:rPr>
          <w:rFonts w:ascii="仿宋_GB2312" w:hAnsi="宋体" w:eastAsia="仿宋_GB2312"/>
          <w:sz w:val="32"/>
          <w:szCs w:val="32"/>
        </w:rPr>
      </w:pPr>
    </w:p>
    <w:p>
      <w:pPr>
        <w:ind w:firstLine="640" w:firstLineChars="200"/>
        <w:jc w:val="both"/>
        <w:rPr>
          <w:rFonts w:ascii="仿宋_GB2312" w:eastAsia="仿宋_GB2312"/>
          <w:sz w:val="32"/>
          <w:szCs w:val="32"/>
        </w:rPr>
      </w:pPr>
      <w:r>
        <w:rPr>
          <w:rFonts w:hint="eastAsia" w:ascii="仿宋_GB2312" w:eastAsia="仿宋_GB2312"/>
          <w:sz w:val="32"/>
          <w:szCs w:val="32"/>
        </w:rPr>
        <w:t>新疆公安厅警卫局是一支按照解放军</w:t>
      </w:r>
      <w:r>
        <w:rPr>
          <w:rFonts w:hint="eastAsia" w:ascii="仿宋_GB2312" w:eastAsia="仿宋_GB2312"/>
          <w:color w:val="000000" w:themeColor="text1"/>
          <w:sz w:val="32"/>
          <w:szCs w:val="32"/>
          <w14:textFill>
            <w14:solidFill>
              <w14:schemeClr w14:val="tx1"/>
            </w14:solidFill>
          </w14:textFill>
        </w:rPr>
        <w:t>条</w:t>
      </w:r>
      <w:r>
        <w:rPr>
          <w:rFonts w:hint="eastAsia" w:ascii="仿宋_GB2312" w:eastAsia="仿宋_GB2312"/>
          <w:color w:val="000000" w:themeColor="text1"/>
          <w:sz w:val="32"/>
          <w:szCs w:val="32"/>
          <w:lang w:eastAsia="zh-CN"/>
          <w14:textFill>
            <w14:solidFill>
              <w14:schemeClr w14:val="tx1"/>
            </w14:solidFill>
          </w14:textFill>
        </w:rPr>
        <w:t>令</w:t>
      </w:r>
      <w:r>
        <w:rPr>
          <w:rFonts w:hint="eastAsia" w:ascii="仿宋_GB2312" w:eastAsia="仿宋_GB2312"/>
          <w:color w:val="000000" w:themeColor="text1"/>
          <w:sz w:val="32"/>
          <w:szCs w:val="32"/>
          <w14:textFill>
            <w14:solidFill>
              <w14:schemeClr w14:val="tx1"/>
            </w14:solidFill>
          </w14:textFill>
        </w:rPr>
        <w:t>条例</w:t>
      </w:r>
      <w:r>
        <w:rPr>
          <w:rFonts w:hint="eastAsia" w:ascii="仿宋_GB2312" w:eastAsia="仿宋_GB2312"/>
          <w:sz w:val="32"/>
          <w:szCs w:val="32"/>
        </w:rPr>
        <w:t>管理和建设的公安现役部队，官兵享受现役军人待遇。主要担负国内外重要领导人、重要会议、重大活动的安全警卫工作。</w:t>
      </w:r>
    </w:p>
    <w:p>
      <w:pPr>
        <w:ind w:firstLine="640" w:firstLineChars="200"/>
        <w:jc w:val="both"/>
        <w:rPr>
          <w:rFonts w:ascii="仿宋_GB2312" w:hAnsi="宋体" w:eastAsia="仿宋_GB2312"/>
          <w:color w:val="000000"/>
          <w:sz w:val="32"/>
          <w:szCs w:val="32"/>
        </w:rPr>
      </w:pPr>
      <w:r>
        <w:rPr>
          <w:rFonts w:hint="eastAsia" w:ascii="仿宋_GB2312" w:eastAsia="仿宋_GB2312"/>
          <w:sz w:val="32"/>
          <w:szCs w:val="32"/>
        </w:rPr>
        <w:t>近年来，为进一步改善和提高干部队伍专业结构和文化素质，我部队从全国各大院校接收品学兼优的大学生充实到部队。他们在这里充分发挥专业优势、展现个人才华，已经成长为部队建设的一支重要力量。今年，我部队将继续接收有志献身新疆公安警卫事业的2018年度优秀应届本科毕业生。接收相关事宜如下：</w:t>
      </w:r>
    </w:p>
    <w:p>
      <w:pPr>
        <w:ind w:firstLine="803" w:firstLineChars="251"/>
        <w:rPr>
          <w:rFonts w:ascii="黑体" w:hAnsi="宋体" w:eastAsia="黑体"/>
          <w:color w:val="000000"/>
          <w:sz w:val="32"/>
          <w:szCs w:val="32"/>
        </w:rPr>
      </w:pPr>
      <w:r>
        <w:rPr>
          <w:rFonts w:hint="eastAsia" w:ascii="黑体" w:hAnsi="宋体" w:eastAsia="黑体"/>
          <w:color w:val="000000"/>
          <w:sz w:val="32"/>
          <w:szCs w:val="32"/>
        </w:rPr>
        <w:t>一、招收计划和专业</w:t>
      </w:r>
    </w:p>
    <w:p>
      <w:pPr>
        <w:ind w:left="-141" w:leftChars="-67"/>
        <w:rPr>
          <w:rFonts w:ascii="楷体_GB2312" w:hAnsi="宋体" w:eastAsia="楷体_GB2312"/>
          <w:b/>
          <w:color w:val="000000"/>
          <w:sz w:val="32"/>
          <w:szCs w:val="32"/>
        </w:rPr>
      </w:pPr>
      <w:r>
        <w:rPr>
          <w:rFonts w:hint="eastAsia" w:ascii="楷体_GB2312" w:hAnsi="宋体" w:eastAsia="楷体_GB2312"/>
          <w:b/>
          <w:color w:val="000000"/>
          <w:sz w:val="32"/>
          <w:szCs w:val="32"/>
        </w:rPr>
        <w:drawing>
          <wp:inline distT="0" distB="0" distL="0" distR="0">
            <wp:extent cx="5857875" cy="3552825"/>
            <wp:effectExtent l="0" t="0" r="9525"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a:xfrm>
                      <a:off x="0" y="0"/>
                      <a:ext cx="5865812" cy="3557639"/>
                    </a:xfrm>
                    <a:prstGeom prst="rect">
                      <a:avLst/>
                    </a:prstGeom>
                    <a:noFill/>
                    <a:ln>
                      <a:noFill/>
                    </a:ln>
                  </pic:spPr>
                </pic:pic>
              </a:graphicData>
            </a:graphic>
          </wp:inline>
        </w:drawing>
      </w:r>
    </w:p>
    <w:p>
      <w:pPr>
        <w:ind w:firstLine="800" w:firstLineChars="250"/>
        <w:rPr>
          <w:rFonts w:ascii="黑体" w:hAnsi="宋体" w:eastAsia="黑体"/>
          <w:color w:val="000000"/>
          <w:sz w:val="32"/>
          <w:szCs w:val="32"/>
        </w:rPr>
      </w:pPr>
      <w:r>
        <w:rPr>
          <w:rFonts w:hint="eastAsia" w:ascii="黑体" w:hAnsi="宋体" w:eastAsia="黑体"/>
          <w:sz w:val="32"/>
          <w:szCs w:val="32"/>
        </w:rPr>
        <w:t>二、接收对象条件、要求和职级待遇</w:t>
      </w:r>
    </w:p>
    <w:p>
      <w:pPr>
        <w:autoSpaceDN w:val="0"/>
        <w:ind w:firstLine="630" w:firstLineChars="196"/>
        <w:rPr>
          <w:rFonts w:ascii="仿宋_GB2312" w:hAnsi="宋体" w:eastAsia="仿宋_GB2312"/>
          <w:b/>
          <w:color w:val="000000"/>
          <w:sz w:val="32"/>
          <w:szCs w:val="32"/>
        </w:rPr>
      </w:pPr>
      <w:r>
        <w:rPr>
          <w:rFonts w:hint="eastAsia" w:ascii="楷体_GB2312" w:hAnsi="宋体" w:eastAsia="楷体_GB2312"/>
          <w:b/>
          <w:color w:val="000000"/>
          <w:sz w:val="32"/>
          <w:szCs w:val="32"/>
        </w:rPr>
        <w:t>（一）政治条件。</w:t>
      </w:r>
      <w:r>
        <w:rPr>
          <w:rFonts w:hint="eastAsia" w:ascii="仿宋_GB2312" w:hAnsi="宋体" w:eastAsia="仿宋_GB2312"/>
          <w:color w:val="000000"/>
          <w:sz w:val="32"/>
          <w:szCs w:val="32"/>
        </w:rPr>
        <w:t>必须拥护党的路线、方针、政策，政治立场坚定，忠诚可靠，作风正派，品德优良，志愿献身公安警卫事业，组织纪律观念强。必须是共产党员或共青团员，符合公民应征入伍的政治条件，家庭成员和主要社会关系无任何政治、经济、历史问题。</w:t>
      </w:r>
    </w:p>
    <w:p>
      <w:pPr>
        <w:autoSpaceDN w:val="0"/>
        <w:ind w:firstLine="739" w:firstLineChars="230"/>
        <w:rPr>
          <w:rFonts w:ascii="仿宋_GB2312" w:hAnsi="宋体" w:eastAsia="仿宋_GB2312"/>
          <w:b/>
          <w:color w:val="000000"/>
          <w:sz w:val="32"/>
          <w:szCs w:val="32"/>
        </w:rPr>
      </w:pPr>
      <w:r>
        <w:rPr>
          <w:rFonts w:hint="eastAsia" w:ascii="楷体_GB2312" w:hAnsi="宋体" w:eastAsia="楷体_GB2312"/>
          <w:b/>
          <w:color w:val="000000"/>
          <w:sz w:val="32"/>
          <w:szCs w:val="32"/>
        </w:rPr>
        <w:t>（二）文化学历。</w:t>
      </w:r>
      <w:r>
        <w:rPr>
          <w:rFonts w:hint="eastAsia" w:ascii="仿宋_GB2312" w:hAnsi="宋体" w:eastAsia="仿宋_GB2312"/>
          <w:color w:val="000000"/>
          <w:sz w:val="32"/>
          <w:szCs w:val="32"/>
        </w:rPr>
        <w:t>接收对象必须是参加全国普通高等学校</w:t>
      </w:r>
      <w:r>
        <w:rPr>
          <w:rFonts w:hint="eastAsia" w:ascii="仿宋_GB2312" w:hAnsi="宋体" w:eastAsia="仿宋_GB2312"/>
          <w:color w:val="000000" w:themeColor="text1"/>
          <w:sz w:val="32"/>
          <w:szCs w:val="32"/>
          <w14:textFill>
            <w14:solidFill>
              <w14:schemeClr w14:val="tx1"/>
            </w14:solidFill>
          </w14:textFill>
        </w:rPr>
        <w:t>统一招生考试</w:t>
      </w:r>
      <w:r>
        <w:rPr>
          <w:rFonts w:hint="eastAsia" w:ascii="仿宋_GB2312" w:hAnsi="宋体" w:eastAsia="仿宋_GB2312"/>
          <w:color w:val="000000"/>
          <w:sz w:val="32"/>
          <w:szCs w:val="32"/>
        </w:rPr>
        <w:t>录取的全日制普通高校2018年度应届本科毕业生。重点接收国家“985</w:t>
      </w:r>
      <w:r>
        <w:rPr>
          <w:rFonts w:hint="eastAsia" w:ascii="仿宋_GB2312" w:hAnsi="宋体" w:eastAsia="仿宋_GB2312"/>
          <w:color w:val="000000"/>
          <w:sz w:val="32"/>
          <w:szCs w:val="32"/>
          <w:lang w:eastAsia="zh-CN"/>
        </w:rPr>
        <w:t>”</w:t>
      </w:r>
      <w:r>
        <w:rPr>
          <w:rFonts w:hint="eastAsia" w:ascii="仿宋_GB2312" w:hAnsi="宋体" w:eastAsia="仿宋_GB2312"/>
          <w:color w:val="000000"/>
          <w:sz w:val="32"/>
          <w:szCs w:val="32"/>
        </w:rPr>
        <w:t>、“211”工程院校，教育部、公安部直属院校和省属重点高校毕业生，兼顾其它普通高校毕业生。接收对象必须按时取得毕业证书和学位证书。</w:t>
      </w:r>
    </w:p>
    <w:p>
      <w:pPr>
        <w:autoSpaceDN w:val="0"/>
        <w:ind w:firstLine="643" w:firstLineChars="200"/>
        <w:rPr>
          <w:rFonts w:ascii="仿宋_GB2312" w:hAnsi="宋体" w:eastAsia="仿宋_GB2312"/>
          <w:b/>
          <w:color w:val="000000"/>
          <w:sz w:val="32"/>
          <w:szCs w:val="32"/>
        </w:rPr>
      </w:pPr>
      <w:r>
        <w:rPr>
          <w:rFonts w:hint="eastAsia" w:ascii="楷体_GB2312" w:hAnsi="宋体" w:eastAsia="楷体_GB2312"/>
          <w:b/>
          <w:color w:val="000000"/>
          <w:sz w:val="32"/>
          <w:szCs w:val="32"/>
        </w:rPr>
        <w:t>（三）年龄条件。</w:t>
      </w:r>
      <w:r>
        <w:rPr>
          <w:rFonts w:hint="eastAsia" w:ascii="仿宋_GB2312" w:hAnsi="宋体" w:eastAsia="仿宋_GB2312"/>
          <w:color w:val="000000"/>
          <w:sz w:val="32"/>
          <w:szCs w:val="32"/>
        </w:rPr>
        <w:t>接收的本科毕业生年龄不超过24周岁，计算年龄的截止时间为毕业当年的8月31日（即本科生为1994年8月31日以后出生）。工作急需的少数民族毕业生，年龄可放宽1岁；曾经服现役的毕业生，年龄可放宽2岁。</w:t>
      </w:r>
    </w:p>
    <w:p>
      <w:pPr>
        <w:autoSpaceDN w:val="0"/>
        <w:ind w:firstLine="643" w:firstLineChars="200"/>
        <w:rPr>
          <w:rFonts w:eastAsia="仿宋_GB2312"/>
          <w:sz w:val="32"/>
          <w:szCs w:val="32"/>
        </w:rPr>
      </w:pPr>
      <w:r>
        <w:rPr>
          <w:rFonts w:hint="eastAsia" w:ascii="楷体_GB2312" w:hAnsi="宋体" w:eastAsia="楷体_GB2312"/>
          <w:b/>
          <w:color w:val="000000"/>
          <w:sz w:val="32"/>
          <w:szCs w:val="32"/>
        </w:rPr>
        <w:t>（四）身体条件。</w:t>
      </w:r>
      <w:r>
        <w:rPr>
          <w:rFonts w:hint="eastAsia" w:ascii="仿宋_GB2312" w:hAnsi="宋体" w:eastAsia="仿宋_GB2312"/>
          <w:color w:val="000000"/>
          <w:sz w:val="32"/>
          <w:szCs w:val="32"/>
        </w:rPr>
        <w:t>符合《军队院校招收学员体格检查标准》的规定，无传染病史，五官端正，气质良好，体型协调，反应敏捷，心理健康。</w:t>
      </w:r>
      <w:r>
        <w:rPr>
          <w:rFonts w:eastAsia="仿宋_GB2312"/>
          <w:sz w:val="32"/>
          <w:szCs w:val="32"/>
        </w:rPr>
        <w:t>双眼裸视力</w:t>
      </w:r>
      <w:r>
        <w:rPr>
          <w:rFonts w:hint="eastAsia" w:eastAsia="仿宋_GB2312"/>
          <w:sz w:val="32"/>
          <w:szCs w:val="32"/>
        </w:rPr>
        <w:t>，</w:t>
      </w:r>
      <w:r>
        <w:rPr>
          <w:rFonts w:eastAsia="仿宋_GB2312"/>
          <w:sz w:val="32"/>
          <w:szCs w:val="32"/>
        </w:rPr>
        <w:t>拟补充到指挥岗位的毕业生不低于4.6，拟补充到技术岗位的不低于4.3</w:t>
      </w:r>
      <w:r>
        <w:rPr>
          <w:rFonts w:hint="eastAsia" w:eastAsia="仿宋_GB2312"/>
          <w:sz w:val="32"/>
          <w:szCs w:val="32"/>
        </w:rPr>
        <w:t>。</w:t>
      </w:r>
      <w:r>
        <w:rPr>
          <w:rFonts w:eastAsia="仿宋_GB2312"/>
          <w:sz w:val="32"/>
          <w:szCs w:val="32"/>
        </w:rPr>
        <w:t>男生身高不低于1.75米</w:t>
      </w:r>
      <w:r>
        <w:rPr>
          <w:rFonts w:hint="eastAsia" w:eastAsia="仿宋_GB2312"/>
          <w:sz w:val="32"/>
          <w:szCs w:val="32"/>
        </w:rPr>
        <w:t>，女生身高不低于1.65米</w:t>
      </w:r>
      <w:r>
        <w:rPr>
          <w:rFonts w:eastAsia="仿宋_GB2312"/>
          <w:sz w:val="32"/>
          <w:szCs w:val="32"/>
        </w:rPr>
        <w:t>。</w:t>
      </w:r>
      <w:r>
        <w:rPr>
          <w:rFonts w:hint="eastAsia" w:eastAsia="仿宋_GB2312"/>
          <w:sz w:val="32"/>
          <w:szCs w:val="32"/>
        </w:rPr>
        <w:t>男性体重不超过标准体重的30</w:t>
      </w:r>
      <w:r>
        <w:rPr>
          <w:rFonts w:hint="eastAsia" w:ascii="宋体" w:hAnsi="宋体"/>
          <w:sz w:val="32"/>
          <w:szCs w:val="32"/>
        </w:rPr>
        <w:t>﹪</w:t>
      </w:r>
      <w:r>
        <w:rPr>
          <w:rFonts w:hint="eastAsia" w:eastAsia="仿宋_GB2312"/>
          <w:sz w:val="32"/>
          <w:szCs w:val="32"/>
        </w:rPr>
        <w:t>、不低于标准体重的15</w:t>
      </w:r>
      <w:r>
        <w:rPr>
          <w:rFonts w:hint="eastAsia" w:ascii="宋体" w:hAnsi="宋体"/>
          <w:sz w:val="32"/>
          <w:szCs w:val="32"/>
        </w:rPr>
        <w:t>﹪</w:t>
      </w:r>
      <w:r>
        <w:rPr>
          <w:rFonts w:hint="eastAsia" w:eastAsia="仿宋_GB2312"/>
          <w:sz w:val="32"/>
          <w:szCs w:val="32"/>
        </w:rPr>
        <w:t>；女性体重不超过标准体重的20</w:t>
      </w:r>
      <w:r>
        <w:rPr>
          <w:rFonts w:hint="eastAsia" w:ascii="宋体" w:hAnsi="宋体"/>
          <w:sz w:val="32"/>
          <w:szCs w:val="32"/>
        </w:rPr>
        <w:t>﹪</w:t>
      </w:r>
      <w:r>
        <w:rPr>
          <w:rFonts w:hint="eastAsia" w:eastAsia="仿宋_GB2312"/>
          <w:sz w:val="32"/>
          <w:szCs w:val="32"/>
        </w:rPr>
        <w:t>、不低于标准体重的15</w:t>
      </w:r>
      <w:r>
        <w:rPr>
          <w:rFonts w:hint="eastAsia" w:ascii="宋体" w:hAnsi="宋体"/>
          <w:sz w:val="32"/>
          <w:szCs w:val="32"/>
        </w:rPr>
        <w:t>﹪</w:t>
      </w:r>
      <w:r>
        <w:rPr>
          <w:rFonts w:hint="eastAsia" w:eastAsia="仿宋_GB2312"/>
          <w:sz w:val="32"/>
          <w:szCs w:val="32"/>
        </w:rPr>
        <w:t>。</w:t>
      </w:r>
    </w:p>
    <w:p>
      <w:pPr>
        <w:autoSpaceDN w:val="0"/>
        <w:ind w:firstLine="640" w:firstLineChars="200"/>
        <w:rPr>
          <w:rFonts w:ascii="仿宋_GB2312" w:hAnsi="宋体" w:eastAsia="仿宋_GB2312"/>
          <w:b/>
          <w:color w:val="000000"/>
          <w:sz w:val="32"/>
          <w:szCs w:val="32"/>
        </w:rPr>
      </w:pPr>
      <w:r>
        <w:rPr>
          <w:rFonts w:hint="eastAsia" w:eastAsia="仿宋_GB2312"/>
          <w:sz w:val="32"/>
          <w:szCs w:val="32"/>
        </w:rPr>
        <w:t>（标准体重（KG）=身高（CM）-110）。</w:t>
      </w:r>
    </w:p>
    <w:p>
      <w:pPr>
        <w:autoSpaceDN w:val="0"/>
        <w:spacing w:line="420" w:lineRule="atLeast"/>
        <w:ind w:firstLine="643" w:firstLineChars="200"/>
        <w:rPr>
          <w:rFonts w:ascii="仿宋_GB2312" w:hAnsi="宋体" w:eastAsia="仿宋_GB2312"/>
          <w:b/>
          <w:color w:val="000000"/>
          <w:sz w:val="32"/>
          <w:szCs w:val="32"/>
        </w:rPr>
      </w:pPr>
      <w:r>
        <w:rPr>
          <w:rFonts w:hint="eastAsia" w:ascii="楷体_GB2312" w:hAnsi="宋体" w:eastAsia="楷体_GB2312"/>
          <w:b/>
          <w:color w:val="000000"/>
          <w:sz w:val="32"/>
          <w:szCs w:val="32"/>
        </w:rPr>
        <w:t>（五）优先接收条件。</w:t>
      </w:r>
      <w:r>
        <w:rPr>
          <w:rFonts w:eastAsia="仿宋_GB2312"/>
          <w:sz w:val="32"/>
          <w:szCs w:val="32"/>
        </w:rPr>
        <w:t>同等条件下，</w:t>
      </w:r>
      <w:r>
        <w:rPr>
          <w:rFonts w:hint="eastAsia" w:eastAsia="仿宋_GB2312"/>
          <w:color w:val="000000" w:themeColor="text1"/>
          <w:sz w:val="32"/>
          <w:szCs w:val="32"/>
          <w:lang w:eastAsia="zh-CN"/>
          <w14:textFill>
            <w14:solidFill>
              <w14:schemeClr w14:val="tx1"/>
            </w14:solidFill>
          </w14:textFill>
        </w:rPr>
        <w:t>中共</w:t>
      </w:r>
      <w:r>
        <w:rPr>
          <w:rFonts w:eastAsia="仿宋_GB2312"/>
          <w:color w:val="000000" w:themeColor="text1"/>
          <w:sz w:val="32"/>
          <w:szCs w:val="32"/>
          <w14:textFill>
            <w14:solidFill>
              <w14:schemeClr w14:val="tx1"/>
            </w14:solidFill>
          </w14:textFill>
        </w:rPr>
        <w:t>党员</w:t>
      </w:r>
      <w:r>
        <w:rPr>
          <w:rFonts w:eastAsia="仿宋_GB2312"/>
          <w:sz w:val="32"/>
          <w:szCs w:val="32"/>
        </w:rPr>
        <w:t>、学生干部、三好学生和曾服现役的毕业生，以及在学术、科研上有突出成果的毕业生，公安现役在职、退休未移交干部子女和因公牺牲干部子女、英烈子女，优先接收。</w:t>
      </w:r>
    </w:p>
    <w:p>
      <w:pPr>
        <w:spacing w:line="600" w:lineRule="exact"/>
        <w:ind w:firstLine="643" w:firstLineChars="200"/>
        <w:rPr>
          <w:rFonts w:ascii="楷体_GB2312" w:eastAsia="楷体_GB2312"/>
          <w:b/>
          <w:sz w:val="32"/>
          <w:szCs w:val="32"/>
        </w:rPr>
      </w:pPr>
      <w:r>
        <w:rPr>
          <w:rFonts w:hint="eastAsia" w:ascii="楷体_GB2312" w:eastAsia="楷体_GB2312"/>
          <w:b/>
          <w:sz w:val="32"/>
          <w:szCs w:val="32"/>
        </w:rPr>
        <w:t>（六）下列对象不属于接受范围：</w:t>
      </w:r>
    </w:p>
    <w:p>
      <w:pPr>
        <w:spacing w:line="600" w:lineRule="exact"/>
        <w:ind w:firstLine="800" w:firstLineChars="250"/>
        <w:rPr>
          <w:rFonts w:eastAsia="仿宋_GB2312"/>
          <w:sz w:val="32"/>
          <w:szCs w:val="32"/>
        </w:rPr>
      </w:pPr>
      <w:r>
        <w:rPr>
          <w:rFonts w:hint="eastAsia" w:eastAsia="仿宋_GB2312"/>
          <w:sz w:val="32"/>
          <w:szCs w:val="32"/>
        </w:rPr>
        <w:t>1、</w:t>
      </w:r>
      <w:r>
        <w:rPr>
          <w:rFonts w:eastAsia="仿宋_GB2312"/>
          <w:sz w:val="32"/>
          <w:szCs w:val="32"/>
        </w:rPr>
        <w:t>广播电视大学、函授大学、职工大学、业余大学、自修大学、高等教育自学考试等非普通高等院校毕业生；</w:t>
      </w:r>
    </w:p>
    <w:p>
      <w:pPr>
        <w:spacing w:line="600" w:lineRule="exact"/>
        <w:ind w:firstLine="800" w:firstLineChars="250"/>
        <w:rPr>
          <w:rFonts w:eastAsia="仿宋_GB2312"/>
          <w:sz w:val="32"/>
          <w:szCs w:val="32"/>
        </w:rPr>
      </w:pPr>
      <w:r>
        <w:rPr>
          <w:rFonts w:hint="eastAsia" w:eastAsia="仿宋_GB2312"/>
          <w:sz w:val="32"/>
          <w:szCs w:val="32"/>
        </w:rPr>
        <w:t>2、</w:t>
      </w:r>
      <w:r>
        <w:rPr>
          <w:rFonts w:eastAsia="仿宋_GB2312"/>
          <w:sz w:val="32"/>
          <w:szCs w:val="32"/>
        </w:rPr>
        <w:t>职业大学、职业技术学院、民办大学、独立学院、成人高校毕业生；</w:t>
      </w:r>
    </w:p>
    <w:p>
      <w:pPr>
        <w:spacing w:line="600" w:lineRule="exact"/>
        <w:ind w:firstLine="800" w:firstLineChars="250"/>
        <w:rPr>
          <w:rFonts w:eastAsia="仿宋_GB2312"/>
          <w:sz w:val="32"/>
          <w:szCs w:val="32"/>
        </w:rPr>
      </w:pPr>
      <w:r>
        <w:rPr>
          <w:rFonts w:hint="eastAsia" w:eastAsia="仿宋_GB2312"/>
          <w:sz w:val="32"/>
          <w:szCs w:val="32"/>
        </w:rPr>
        <w:t>3、</w:t>
      </w:r>
      <w:r>
        <w:rPr>
          <w:rFonts w:eastAsia="仿宋_GB2312"/>
          <w:sz w:val="32"/>
          <w:szCs w:val="32"/>
        </w:rPr>
        <w:t>普通高等院校招收的委培、自费、定向毕业生；</w:t>
      </w:r>
    </w:p>
    <w:p>
      <w:pPr>
        <w:spacing w:line="600" w:lineRule="exact"/>
        <w:ind w:firstLine="800" w:firstLineChars="250"/>
        <w:rPr>
          <w:rFonts w:eastAsia="仿宋_GB2312"/>
          <w:sz w:val="32"/>
          <w:szCs w:val="32"/>
        </w:rPr>
      </w:pPr>
      <w:r>
        <w:rPr>
          <w:rFonts w:hint="eastAsia" w:eastAsia="仿宋_GB2312"/>
          <w:sz w:val="32"/>
          <w:szCs w:val="32"/>
        </w:rPr>
        <w:t>4、</w:t>
      </w:r>
      <w:r>
        <w:rPr>
          <w:rFonts w:eastAsia="仿宋_GB2312"/>
          <w:sz w:val="32"/>
          <w:szCs w:val="32"/>
        </w:rPr>
        <w:t>军队院校为地方培养的毕业生；</w:t>
      </w:r>
    </w:p>
    <w:p>
      <w:pPr>
        <w:spacing w:line="600" w:lineRule="exact"/>
        <w:ind w:firstLine="800" w:firstLineChars="250"/>
        <w:rPr>
          <w:rFonts w:eastAsia="仿宋_GB2312"/>
          <w:sz w:val="32"/>
          <w:szCs w:val="32"/>
        </w:rPr>
      </w:pPr>
      <w:r>
        <w:rPr>
          <w:rFonts w:hint="eastAsia" w:eastAsia="仿宋_GB2312"/>
          <w:sz w:val="32"/>
          <w:szCs w:val="32"/>
        </w:rPr>
        <w:t>5、</w:t>
      </w:r>
      <w:r>
        <w:rPr>
          <w:rFonts w:eastAsia="仿宋_GB2312"/>
          <w:sz w:val="32"/>
          <w:szCs w:val="32"/>
        </w:rPr>
        <w:t>有国（境）外学习经历的毕业生；</w:t>
      </w:r>
    </w:p>
    <w:p>
      <w:pPr>
        <w:spacing w:line="600" w:lineRule="exact"/>
        <w:ind w:firstLine="800" w:firstLineChars="250"/>
        <w:rPr>
          <w:rFonts w:eastAsia="仿宋_GB2312"/>
          <w:sz w:val="32"/>
          <w:szCs w:val="32"/>
        </w:rPr>
      </w:pPr>
      <w:r>
        <w:rPr>
          <w:rFonts w:hint="eastAsia" w:eastAsia="仿宋_GB2312"/>
          <w:sz w:val="32"/>
          <w:szCs w:val="32"/>
        </w:rPr>
        <w:t>6、</w:t>
      </w:r>
      <w:r>
        <w:rPr>
          <w:rFonts w:eastAsia="仿宋_GB2312"/>
          <w:sz w:val="32"/>
          <w:szCs w:val="32"/>
        </w:rPr>
        <w:t>在校学习期间，必修课程重修和补考累积4门</w:t>
      </w:r>
      <w:r>
        <w:rPr>
          <w:rFonts w:hint="eastAsia" w:eastAsia="仿宋_GB2312"/>
          <w:sz w:val="32"/>
          <w:szCs w:val="32"/>
        </w:rPr>
        <w:t>（含）</w:t>
      </w:r>
      <w:r>
        <w:rPr>
          <w:rFonts w:eastAsia="仿宋_GB2312"/>
          <w:sz w:val="32"/>
          <w:szCs w:val="32"/>
        </w:rPr>
        <w:t>以上或1门</w:t>
      </w:r>
      <w:r>
        <w:rPr>
          <w:rFonts w:hint="eastAsia" w:eastAsia="仿宋_GB2312"/>
          <w:sz w:val="32"/>
          <w:szCs w:val="32"/>
        </w:rPr>
        <w:t>（含）</w:t>
      </w:r>
      <w:r>
        <w:rPr>
          <w:rFonts w:eastAsia="仿宋_GB2312"/>
          <w:sz w:val="32"/>
          <w:szCs w:val="32"/>
        </w:rPr>
        <w:t>以上补考不及格的毕业生；</w:t>
      </w:r>
    </w:p>
    <w:p>
      <w:pPr>
        <w:spacing w:line="600" w:lineRule="exact"/>
        <w:ind w:firstLine="803" w:firstLineChars="251"/>
        <w:rPr>
          <w:rFonts w:eastAsia="仿宋_GB2312"/>
          <w:sz w:val="32"/>
          <w:szCs w:val="32"/>
        </w:rPr>
      </w:pPr>
      <w:r>
        <w:rPr>
          <w:rFonts w:hint="eastAsia" w:eastAsia="仿宋_GB2312"/>
          <w:sz w:val="32"/>
          <w:szCs w:val="32"/>
        </w:rPr>
        <w:t>7、</w:t>
      </w:r>
      <w:r>
        <w:rPr>
          <w:rFonts w:eastAsia="仿宋_GB2312"/>
          <w:sz w:val="32"/>
          <w:szCs w:val="32"/>
        </w:rPr>
        <w:t>结业生、肄业生、中专起点大专生、预科生、未获得学位的本科毕业生；</w:t>
      </w:r>
    </w:p>
    <w:p>
      <w:pPr>
        <w:ind w:firstLine="800" w:firstLineChars="250"/>
        <w:rPr>
          <w:rFonts w:eastAsia="仿宋_GB2312"/>
          <w:sz w:val="32"/>
          <w:szCs w:val="32"/>
        </w:rPr>
      </w:pPr>
      <w:r>
        <w:rPr>
          <w:rFonts w:hint="eastAsia" w:eastAsia="仿宋_GB2312"/>
          <w:sz w:val="32"/>
          <w:szCs w:val="32"/>
        </w:rPr>
        <w:t>8、</w:t>
      </w:r>
      <w:r>
        <w:rPr>
          <w:rFonts w:eastAsia="仿宋_GB2312"/>
          <w:sz w:val="32"/>
          <w:szCs w:val="32"/>
        </w:rPr>
        <w:t>被作留级处理或中途休学超过半年（不含应征入伍）的毕业生，在校期间因违反纪律或其它原因受过处分的毕业生。</w:t>
      </w:r>
    </w:p>
    <w:p>
      <w:pPr>
        <w:autoSpaceDN w:val="0"/>
        <w:spacing w:line="420" w:lineRule="atLeast"/>
        <w:ind w:firstLine="643" w:firstLineChars="200"/>
        <w:rPr>
          <w:rFonts w:ascii="仿宋_GB2312" w:hAnsi="宋体" w:eastAsia="仿宋_GB2312"/>
          <w:b/>
          <w:color w:val="000000"/>
          <w:sz w:val="32"/>
          <w:szCs w:val="32"/>
        </w:rPr>
      </w:pPr>
      <w:r>
        <w:rPr>
          <w:rFonts w:hint="eastAsia" w:ascii="楷体_GB2312" w:hAnsi="宋体" w:eastAsia="楷体_GB2312"/>
          <w:b/>
          <w:color w:val="000000"/>
          <w:sz w:val="32"/>
          <w:szCs w:val="32"/>
        </w:rPr>
        <w:t>（七）职级待遇。</w:t>
      </w:r>
      <w:r>
        <w:rPr>
          <w:rFonts w:hint="eastAsia" w:ascii="仿宋_GB2312" w:hAnsi="宋体" w:eastAsia="仿宋_GB2312"/>
          <w:color w:val="000000"/>
          <w:sz w:val="32"/>
          <w:szCs w:val="32"/>
        </w:rPr>
        <w:t>接收对象经培训合格并批准入伍后，本科毕业生任命为副连职警官，授予中尉警衔。在住房、医疗、福利等方面享受现役军人待遇，家属享受军属待遇。</w:t>
      </w:r>
    </w:p>
    <w:p>
      <w:pPr>
        <w:ind w:firstLine="645"/>
        <w:jc w:val="center"/>
        <w:rPr>
          <w:rFonts w:hint="eastAsia" w:eastAsia="仿宋_GB2312"/>
          <w:sz w:val="32"/>
          <w:szCs w:val="32"/>
        </w:rPr>
      </w:pPr>
      <w:r>
        <w:rPr>
          <w:rFonts w:hint="eastAsia" w:ascii="仿宋_GB2312" w:hAnsi="宋体" w:eastAsia="仿宋_GB2312"/>
          <w:color w:val="000000"/>
          <w:sz w:val="32"/>
          <w:szCs w:val="32"/>
        </w:rPr>
        <w:t>入伍后按照</w:t>
      </w:r>
      <w:r>
        <w:rPr>
          <w:rFonts w:hint="eastAsia" w:ascii="仿宋_GB2312" w:eastAsia="仿宋_GB2312"/>
          <w:sz w:val="32"/>
          <w:szCs w:val="32"/>
        </w:rPr>
        <w:t>《公安边防消防警卫部队接收普通高等学校毕业生工作实施细则》（公政治 [2008]379号）</w:t>
      </w:r>
      <w:r>
        <w:rPr>
          <w:rFonts w:hint="eastAsia" w:ascii="仿宋_GB2312" w:hAnsi="宋体" w:eastAsia="仿宋_GB2312"/>
          <w:color w:val="000000"/>
          <w:sz w:val="32"/>
          <w:szCs w:val="32"/>
        </w:rPr>
        <w:t>，</w:t>
      </w:r>
      <w:r>
        <w:rPr>
          <w:rFonts w:eastAsia="仿宋_GB2312"/>
          <w:sz w:val="32"/>
          <w:szCs w:val="32"/>
        </w:rPr>
        <w:t>一律安排到</w:t>
      </w:r>
    </w:p>
    <w:p>
      <w:pPr>
        <w:rPr>
          <w:rFonts w:ascii="仿宋_GB2312" w:hAnsi="宋体" w:eastAsia="仿宋_GB2312"/>
          <w:color w:val="000000"/>
          <w:sz w:val="32"/>
          <w:szCs w:val="32"/>
        </w:rPr>
      </w:pPr>
      <w:r>
        <w:rPr>
          <w:rFonts w:eastAsia="仿宋_GB2312"/>
          <w:sz w:val="32"/>
          <w:szCs w:val="32"/>
        </w:rPr>
        <w:t>基层一线岗位任职</w:t>
      </w:r>
      <w:r>
        <w:rPr>
          <w:rFonts w:hint="eastAsia" w:ascii="仿宋_GB2312" w:hAnsi="宋体" w:eastAsia="仿宋_GB2312"/>
          <w:color w:val="000000"/>
          <w:sz w:val="32"/>
          <w:szCs w:val="32"/>
        </w:rPr>
        <w:t>，</w:t>
      </w:r>
      <w:r>
        <w:rPr>
          <w:rFonts w:eastAsia="仿宋_GB2312"/>
          <w:sz w:val="32"/>
          <w:szCs w:val="32"/>
        </w:rPr>
        <w:t>个人在5年内不得要求退出现役</w:t>
      </w:r>
      <w:r>
        <w:rPr>
          <w:rFonts w:hint="eastAsia" w:ascii="仿宋_GB2312" w:hAnsi="宋体" w:eastAsia="仿宋_GB2312"/>
          <w:color w:val="000000" w:themeColor="text1"/>
          <w:sz w:val="32"/>
          <w:szCs w:val="32"/>
          <w14:textFill>
            <w14:solidFill>
              <w14:schemeClr w14:val="tx1"/>
            </w14:solidFill>
          </w14:textFill>
        </w:rPr>
        <w:t>。</w:t>
      </w:r>
    </w:p>
    <w:p>
      <w:pPr>
        <w:autoSpaceDN w:val="0"/>
        <w:ind w:firstLine="640" w:firstLineChars="200"/>
        <w:rPr>
          <w:rFonts w:ascii="黑体" w:hAnsi="宋体" w:eastAsia="黑体"/>
          <w:color w:val="000000"/>
          <w:sz w:val="32"/>
          <w:szCs w:val="32"/>
        </w:rPr>
      </w:pPr>
      <w:r>
        <w:rPr>
          <w:rFonts w:hint="eastAsia" w:ascii="黑体" w:hAnsi="宋体" w:eastAsia="黑体"/>
          <w:color w:val="000000"/>
          <w:sz w:val="32"/>
          <w:szCs w:val="32"/>
        </w:rPr>
        <w:t>三、接收方式</w:t>
      </w:r>
    </w:p>
    <w:p>
      <w:pPr>
        <w:autoSpaceDN w:val="0"/>
        <w:ind w:firstLine="482" w:firstLineChars="150"/>
        <w:rPr>
          <w:rFonts w:ascii="仿宋_GB2312" w:hAnsi="宋体" w:eastAsia="仿宋_GB2312"/>
          <w:color w:val="000000"/>
          <w:sz w:val="32"/>
          <w:szCs w:val="32"/>
        </w:rPr>
      </w:pPr>
      <w:r>
        <w:rPr>
          <w:rFonts w:hint="eastAsia" w:ascii="楷体_GB2312" w:hAnsi="宋体" w:eastAsia="楷体_GB2312"/>
          <w:b/>
          <w:bCs/>
          <w:color w:val="000000"/>
          <w:sz w:val="32"/>
          <w:szCs w:val="32"/>
        </w:rPr>
        <w:t>（一）宣传报名。</w:t>
      </w:r>
      <w:r>
        <w:rPr>
          <w:rFonts w:hint="eastAsia" w:ascii="仿宋_GB2312" w:hAnsi="宋体" w:eastAsia="仿宋_GB2312"/>
          <w:color w:val="000000"/>
          <w:sz w:val="32"/>
          <w:szCs w:val="32"/>
        </w:rPr>
        <w:t>面向全国符合接收条件的高校进行宣传动员，采取在各高校张贴公告、召开现场招聘会、联系各高校毕业生就业服务指导中心向院校投递招生简章和在院校就业网、</w:t>
      </w:r>
      <w:r>
        <w:rPr>
          <w:rFonts w:hint="eastAsia" w:ascii="仿宋_GB2312" w:hAnsi="宋体" w:eastAsia="仿宋_GB2312"/>
          <w:color w:val="000000" w:themeColor="text1"/>
          <w:sz w:val="32"/>
          <w:szCs w:val="32"/>
          <w:lang w:eastAsia="zh-CN"/>
          <w14:textFill>
            <w14:solidFill>
              <w14:schemeClr w14:val="tx1"/>
            </w14:solidFill>
          </w14:textFill>
        </w:rPr>
        <w:t>省</w:t>
      </w:r>
      <w:r>
        <w:rPr>
          <w:rFonts w:hint="eastAsia" w:ascii="仿宋_GB2312" w:hAnsi="宋体" w:eastAsia="仿宋_GB2312"/>
          <w:color w:val="000000" w:themeColor="text1"/>
          <w:sz w:val="32"/>
          <w:szCs w:val="32"/>
          <w14:textFill>
            <w14:solidFill>
              <w14:schemeClr w14:val="tx1"/>
            </w14:solidFill>
          </w14:textFill>
        </w:rPr>
        <w:t>级</w:t>
      </w:r>
      <w:r>
        <w:rPr>
          <w:rFonts w:hint="eastAsia" w:ascii="仿宋_GB2312" w:hAnsi="宋体" w:eastAsia="仿宋_GB2312"/>
          <w:color w:val="000000"/>
          <w:sz w:val="32"/>
          <w:szCs w:val="32"/>
        </w:rPr>
        <w:t>人事人才网发布招生简章等方式进行。每名报考的应届毕业生在全国公安现役部队范围内限报一个单位，凡重复报名的考生一律取消录取资格。</w:t>
      </w:r>
    </w:p>
    <w:p>
      <w:pPr>
        <w:autoSpaceDN w:val="0"/>
        <w:ind w:firstLine="643" w:firstLineChars="200"/>
        <w:rPr>
          <w:rFonts w:ascii="仿宋_GB2312" w:hAnsi="宋体" w:eastAsia="仿宋_GB2312"/>
          <w:color w:val="000000"/>
          <w:sz w:val="32"/>
          <w:szCs w:val="32"/>
        </w:rPr>
      </w:pPr>
      <w:r>
        <w:rPr>
          <w:rFonts w:hint="eastAsia" w:ascii="楷体_GB2312" w:hAnsi="宋体" w:eastAsia="楷体_GB2312"/>
          <w:b/>
          <w:bCs/>
          <w:color w:val="000000"/>
          <w:sz w:val="32"/>
          <w:szCs w:val="32"/>
        </w:rPr>
        <w:t>（二）报名要求。</w:t>
      </w:r>
      <w:r>
        <w:rPr>
          <w:rFonts w:hint="eastAsia" w:ascii="仿宋_GB2312" w:hAnsi="宋体" w:eastAsia="仿宋_GB2312"/>
          <w:color w:val="000000"/>
          <w:sz w:val="32"/>
          <w:szCs w:val="32"/>
        </w:rPr>
        <w:t>个人资料必须含以下要件：</w:t>
      </w:r>
    </w:p>
    <w:p>
      <w:pPr>
        <w:autoSpaceDN w:val="0"/>
        <w:ind w:firstLine="640" w:firstLineChars="200"/>
        <w:rPr>
          <w:rFonts w:ascii="仿宋_GB2312" w:hAnsi="宋体" w:eastAsia="仿宋_GB2312"/>
          <w:color w:val="000000" w:themeColor="text1"/>
          <w:sz w:val="32"/>
          <w:szCs w:val="32"/>
          <w14:textFill>
            <w14:solidFill>
              <w14:schemeClr w14:val="tx1"/>
            </w14:solidFill>
          </w14:textFill>
        </w:rPr>
      </w:pPr>
      <w:r>
        <w:rPr>
          <w:rFonts w:hint="eastAsia" w:ascii="仿宋_GB2312" w:hAnsi="宋体" w:eastAsia="仿宋_GB2312"/>
          <w:color w:val="000000" w:themeColor="text1"/>
          <w:sz w:val="32"/>
          <w:szCs w:val="32"/>
          <w14:textFill>
            <w14:solidFill>
              <w14:schemeClr w14:val="tx1"/>
            </w14:solidFill>
          </w14:textFill>
        </w:rPr>
        <w:t>1、填写《</w:t>
      </w:r>
      <w:r>
        <w:rPr>
          <w:rFonts w:hint="eastAsia" w:ascii="仿宋_GB2312" w:hAnsi="Calibri" w:eastAsia="仿宋_GB2312"/>
          <w:color w:val="000000" w:themeColor="text1"/>
          <w:sz w:val="32"/>
          <w:szCs w:val="32"/>
          <w14:textFill>
            <w14:solidFill>
              <w14:schemeClr w14:val="tx1"/>
            </w14:solidFill>
          </w14:textFill>
        </w:rPr>
        <w:t>新疆公安厅警卫局招收2018年度应届地方大学毕业生报名表</w:t>
      </w:r>
      <w:r>
        <w:rPr>
          <w:rFonts w:hint="eastAsia" w:ascii="仿宋_GB2312" w:hAnsi="宋体" w:eastAsia="仿宋_GB2312"/>
          <w:color w:val="000000" w:themeColor="text1"/>
          <w:sz w:val="32"/>
          <w:szCs w:val="32"/>
          <w14:textFill>
            <w14:solidFill>
              <w14:schemeClr w14:val="tx1"/>
            </w14:solidFill>
          </w14:textFill>
        </w:rPr>
        <w:t>》（</w:t>
      </w:r>
      <w:r>
        <w:fldChar w:fldCharType="begin"/>
      </w:r>
      <w:r>
        <w:instrText xml:space="preserve"> HYPERLINK "mailto:电子版附彩色红底免冠照片推送至61025231@qq.com" </w:instrText>
      </w:r>
      <w:r>
        <w:fldChar w:fldCharType="separate"/>
      </w:r>
      <w:r>
        <w:rPr>
          <w:rStyle w:val="6"/>
          <w:rFonts w:hint="eastAsia" w:ascii="仿宋_GB2312" w:hAnsi="宋体" w:eastAsia="仿宋_GB2312"/>
          <w:sz w:val="32"/>
          <w:szCs w:val="32"/>
          <w:u w:val="none"/>
        </w:rPr>
        <w:t>电子版附彩色红底免冠照片推送至</w:t>
      </w:r>
      <w:r>
        <w:rPr>
          <w:rStyle w:val="6"/>
          <w:rFonts w:hint="eastAsia" w:ascii="仿宋_GB2312" w:hAnsi="宋体" w:eastAsia="仿宋_GB2312"/>
          <w:sz w:val="32"/>
          <w:szCs w:val="32"/>
        </w:rPr>
        <w:t>61025231@qq.com</w:t>
      </w:r>
      <w:r>
        <w:rPr>
          <w:rStyle w:val="6"/>
          <w:rFonts w:hint="eastAsia" w:ascii="仿宋_GB2312" w:hAnsi="宋体" w:eastAsia="仿宋_GB2312"/>
          <w:sz w:val="32"/>
          <w:szCs w:val="32"/>
        </w:rPr>
        <w:fldChar w:fldCharType="end"/>
      </w:r>
      <w:r>
        <w:rPr>
          <w:rStyle w:val="6"/>
          <w:rFonts w:hint="eastAsia" w:ascii="仿宋_GB2312" w:hAnsi="宋体" w:eastAsia="仿宋_GB2312"/>
          <w:sz w:val="32"/>
          <w:szCs w:val="32"/>
          <w:u w:val="none"/>
        </w:rPr>
        <w:t>邮箱</w:t>
      </w:r>
      <w:r>
        <w:rPr>
          <w:rFonts w:hint="eastAsia" w:ascii="仿宋_GB2312" w:hAnsi="宋体" w:eastAsia="仿宋_GB2312"/>
          <w:color w:val="000000" w:themeColor="text1"/>
          <w:sz w:val="32"/>
          <w:szCs w:val="32"/>
          <w14:textFill>
            <w14:solidFill>
              <w14:schemeClr w14:val="tx1"/>
            </w14:solidFill>
          </w14:textFill>
        </w:rPr>
        <w:t>）</w:t>
      </w:r>
      <w:r>
        <w:rPr>
          <w:rFonts w:hint="eastAsia" w:ascii="楷体_GB2312" w:hAnsi="宋体" w:eastAsia="楷体_GB2312"/>
          <w:b/>
          <w:color w:val="000000" w:themeColor="text1"/>
          <w:sz w:val="32"/>
          <w:szCs w:val="32"/>
          <w14:textFill>
            <w14:solidFill>
              <w14:schemeClr w14:val="tx1"/>
            </w14:solidFill>
          </w14:textFill>
        </w:rPr>
        <w:t>（样表见附件1）</w:t>
      </w:r>
      <w:r>
        <w:rPr>
          <w:rFonts w:hint="eastAsia" w:ascii="仿宋_GB2312" w:hAnsi="宋体" w:eastAsia="仿宋_GB2312"/>
          <w:color w:val="000000" w:themeColor="text1"/>
          <w:sz w:val="32"/>
          <w:szCs w:val="32"/>
          <w14:textFill>
            <w14:solidFill>
              <w14:schemeClr w14:val="tx1"/>
            </w14:solidFill>
          </w14:textFill>
        </w:rPr>
        <w:t>；</w:t>
      </w:r>
    </w:p>
    <w:p>
      <w:pPr>
        <w:autoSpaceDN w:val="0"/>
        <w:ind w:firstLine="640" w:firstLineChars="200"/>
        <w:rPr>
          <w:rFonts w:ascii="仿宋_GB2312" w:hAnsi="宋体" w:eastAsia="仿宋_GB2312"/>
          <w:color w:val="000000"/>
          <w:sz w:val="32"/>
          <w:szCs w:val="32"/>
        </w:rPr>
      </w:pPr>
      <w:r>
        <w:rPr>
          <w:rFonts w:hint="eastAsia" w:ascii="仿宋_GB2312" w:hAnsi="宋体" w:eastAsia="仿宋_GB2312"/>
          <w:color w:val="000000"/>
          <w:sz w:val="32"/>
          <w:szCs w:val="32"/>
        </w:rPr>
        <w:t>2、高校当年录取的新生名册（有本人名字页的复印件，需加盖学校管理档案处印章）；</w:t>
      </w:r>
    </w:p>
    <w:p>
      <w:pPr>
        <w:autoSpaceDN w:val="0"/>
        <w:ind w:firstLine="640" w:firstLineChars="200"/>
        <w:rPr>
          <w:rFonts w:ascii="仿宋_GB2312" w:hAnsi="宋体" w:eastAsia="仿宋_GB2312"/>
          <w:color w:val="000000"/>
          <w:sz w:val="32"/>
          <w:szCs w:val="32"/>
        </w:rPr>
      </w:pPr>
      <w:r>
        <w:rPr>
          <w:rFonts w:hint="eastAsia" w:ascii="仿宋_GB2312" w:hAnsi="宋体" w:eastAsia="仿宋_GB2312"/>
          <w:color w:val="000000"/>
          <w:sz w:val="32"/>
          <w:szCs w:val="32"/>
        </w:rPr>
        <w:t>3、大学期间考试成绩单（截止目前考试成绩单，需加盖学校教务处印章）；</w:t>
      </w:r>
    </w:p>
    <w:p>
      <w:pPr>
        <w:autoSpaceDN w:val="0"/>
        <w:ind w:firstLine="640" w:firstLineChars="200"/>
        <w:rPr>
          <w:rFonts w:ascii="仿宋_GB2312" w:hAnsi="宋体" w:eastAsia="仿宋_GB2312"/>
          <w:color w:val="000000"/>
          <w:sz w:val="32"/>
          <w:szCs w:val="32"/>
        </w:rPr>
      </w:pPr>
      <w:r>
        <w:rPr>
          <w:rFonts w:hint="eastAsia" w:ascii="仿宋_GB2312" w:hAnsi="宋体" w:eastAsia="仿宋_GB2312"/>
          <w:color w:val="000000"/>
          <w:sz w:val="32"/>
          <w:szCs w:val="32"/>
        </w:rPr>
        <w:t>4、本人身份证、学生证正反面复印件；</w:t>
      </w:r>
    </w:p>
    <w:p>
      <w:pPr>
        <w:autoSpaceDN w:val="0"/>
        <w:ind w:firstLine="640" w:firstLineChars="200"/>
        <w:rPr>
          <w:rFonts w:ascii="仿宋_GB2312" w:hAnsi="宋体" w:eastAsia="仿宋_GB2312"/>
          <w:color w:val="000000"/>
          <w:sz w:val="32"/>
          <w:szCs w:val="32"/>
        </w:rPr>
      </w:pPr>
      <w:r>
        <w:rPr>
          <w:rFonts w:hint="eastAsia" w:ascii="仿宋_GB2312" w:hAnsi="宋体" w:eastAsia="仿宋_GB2312"/>
          <w:color w:val="000000"/>
          <w:sz w:val="32"/>
          <w:szCs w:val="32"/>
        </w:rPr>
        <w:t>5、本人近期免冠一寸彩色红底照片5张（照片背面注明本人姓名和毕业院校）</w:t>
      </w:r>
    </w:p>
    <w:p>
      <w:pPr>
        <w:autoSpaceDN w:val="0"/>
        <w:ind w:firstLine="640" w:firstLineChars="200"/>
        <w:rPr>
          <w:rFonts w:ascii="仿宋_GB2312" w:hAnsi="宋体" w:eastAsia="仿宋_GB2312"/>
          <w:color w:val="000000"/>
          <w:sz w:val="32"/>
          <w:szCs w:val="32"/>
        </w:rPr>
      </w:pPr>
      <w:r>
        <w:rPr>
          <w:rFonts w:hint="eastAsia" w:ascii="仿宋_GB2312" w:hAnsi="宋体" w:eastAsia="仿宋_GB2312"/>
          <w:color w:val="000000"/>
          <w:sz w:val="32"/>
          <w:szCs w:val="32"/>
        </w:rPr>
        <w:t>6、在校期间所获各种奖励、证书的复印件。</w:t>
      </w:r>
    </w:p>
    <w:p>
      <w:pPr>
        <w:autoSpaceDN w:val="0"/>
        <w:ind w:firstLine="640" w:firstLineChars="200"/>
        <w:rPr>
          <w:rFonts w:ascii="仿宋_GB2312" w:hAnsi="宋体" w:eastAsia="仿宋_GB2312"/>
          <w:color w:val="000000"/>
          <w:sz w:val="32"/>
          <w:szCs w:val="32"/>
        </w:rPr>
      </w:pPr>
      <w:r>
        <w:rPr>
          <w:rFonts w:hint="eastAsia" w:ascii="仿宋_GB2312" w:hAnsi="宋体" w:eastAsia="仿宋_GB2312"/>
          <w:color w:val="000000"/>
          <w:sz w:val="32"/>
          <w:szCs w:val="32"/>
        </w:rPr>
        <w:t>以上资料通过电子邮件、邮寄或亲自送达方式交新疆公安厅警卫局政治处。（地址：新疆乌鲁木齐市沙依巴克区西环中路299号，邮编：830009；邮箱：</w:t>
      </w:r>
      <w:r>
        <w:fldChar w:fldCharType="begin"/>
      </w:r>
      <w:r>
        <w:instrText xml:space="preserve"> HYPERLINK "mailto:61025231@qq.com" </w:instrText>
      </w:r>
      <w:r>
        <w:fldChar w:fldCharType="separate"/>
      </w:r>
      <w:r>
        <w:rPr>
          <w:rStyle w:val="6"/>
          <w:rFonts w:hint="eastAsia" w:ascii="仿宋_GB2312" w:hAnsi="宋体" w:eastAsia="仿宋_GB2312"/>
          <w:sz w:val="32"/>
          <w:szCs w:val="32"/>
          <w:u w:val="none"/>
        </w:rPr>
        <w:t>61025231@qq.com</w:t>
      </w:r>
      <w:r>
        <w:rPr>
          <w:rStyle w:val="6"/>
          <w:rFonts w:hint="eastAsia" w:ascii="仿宋_GB2312" w:hAnsi="宋体" w:eastAsia="仿宋_GB2312"/>
          <w:sz w:val="32"/>
          <w:szCs w:val="32"/>
          <w:u w:val="none"/>
        </w:rPr>
        <w:fldChar w:fldCharType="end"/>
      </w:r>
      <w:r>
        <w:rPr>
          <w:rFonts w:hint="eastAsia" w:ascii="仿宋_GB2312" w:hAnsi="宋体" w:eastAsia="仿宋_GB2312"/>
          <w:color w:val="000000"/>
          <w:sz w:val="32"/>
          <w:szCs w:val="32"/>
        </w:rPr>
        <w:t>;联系人：王干事，联系电话：0991-8722018）。</w:t>
      </w:r>
    </w:p>
    <w:p>
      <w:pPr>
        <w:autoSpaceDN w:val="0"/>
        <w:ind w:firstLine="643" w:firstLineChars="200"/>
        <w:rPr>
          <w:rFonts w:ascii="仿宋_GB2312" w:hAnsi="宋体" w:eastAsia="仿宋_GB2312"/>
          <w:color w:val="000000"/>
          <w:sz w:val="32"/>
          <w:szCs w:val="32"/>
        </w:rPr>
      </w:pPr>
      <w:r>
        <w:rPr>
          <w:rFonts w:hint="eastAsia" w:ascii="仿宋_GB2312" w:hAnsi="宋体" w:eastAsia="仿宋_GB2312"/>
          <w:b/>
          <w:color w:val="000000"/>
          <w:sz w:val="32"/>
          <w:szCs w:val="32"/>
        </w:rPr>
        <w:t>报名截止日期为2月1日</w:t>
      </w:r>
      <w:r>
        <w:rPr>
          <w:rFonts w:hint="eastAsia" w:ascii="楷体_GB2312" w:hAnsi="宋体" w:eastAsia="楷体_GB2312"/>
          <w:b/>
          <w:color w:val="000000"/>
          <w:sz w:val="32"/>
          <w:szCs w:val="32"/>
        </w:rPr>
        <w:t>。</w:t>
      </w:r>
    </w:p>
    <w:p>
      <w:pPr>
        <w:autoSpaceDN w:val="0"/>
        <w:ind w:firstLine="627" w:firstLineChars="196"/>
        <w:rPr>
          <w:rFonts w:ascii="楷体_GB2312" w:hAnsi="宋体" w:eastAsia="楷体_GB2312"/>
          <w:b/>
          <w:bCs/>
          <w:color w:val="000000"/>
          <w:sz w:val="32"/>
          <w:szCs w:val="32"/>
        </w:rPr>
      </w:pPr>
      <w:r>
        <w:rPr>
          <w:rFonts w:hint="eastAsia" w:ascii="黑体" w:hAnsi="宋体" w:eastAsia="黑体"/>
          <w:bCs/>
          <w:color w:val="000000"/>
          <w:sz w:val="32"/>
          <w:szCs w:val="32"/>
        </w:rPr>
        <w:t>四、接收程序</w:t>
      </w:r>
    </w:p>
    <w:p>
      <w:pPr>
        <w:spacing w:line="600" w:lineRule="exact"/>
        <w:ind w:firstLine="645"/>
        <w:rPr>
          <w:rFonts w:eastAsia="仿宋_GB2312"/>
          <w:sz w:val="32"/>
          <w:szCs w:val="32"/>
        </w:rPr>
      </w:pPr>
      <w:r>
        <w:rPr>
          <w:rFonts w:hint="eastAsia" w:ascii="楷体_GB2312" w:eastAsia="楷体_GB2312"/>
          <w:b/>
          <w:sz w:val="32"/>
          <w:szCs w:val="32"/>
        </w:rPr>
        <w:t>（一）资格审查。</w:t>
      </w:r>
      <w:r>
        <w:rPr>
          <w:rFonts w:eastAsia="仿宋_GB2312"/>
          <w:sz w:val="32"/>
          <w:szCs w:val="32"/>
        </w:rPr>
        <w:t>根据个人报名材料从毕业院校性质、所学专业类别、学历层次、年龄等方面进行筛选。</w:t>
      </w:r>
      <w:r>
        <w:rPr>
          <w:rFonts w:hint="eastAsia" w:ascii="仿宋_GB2312" w:eastAsia="仿宋_GB2312"/>
          <w:b/>
          <w:sz w:val="32"/>
          <w:szCs w:val="32"/>
        </w:rPr>
        <w:t>凡院校性质、学历层次、专业（含相近专业）不符及超龄的一律不予接收。</w:t>
      </w:r>
    </w:p>
    <w:p>
      <w:pPr>
        <w:spacing w:line="600" w:lineRule="exact"/>
        <w:ind w:firstLine="645"/>
        <w:rPr>
          <w:rFonts w:eastAsia="仿宋_GB2312"/>
          <w:sz w:val="32"/>
          <w:szCs w:val="32"/>
        </w:rPr>
      </w:pPr>
      <w:r>
        <w:rPr>
          <w:rFonts w:hint="eastAsia" w:ascii="楷体_GB2312" w:eastAsia="楷体_GB2312"/>
          <w:b/>
          <w:sz w:val="32"/>
          <w:szCs w:val="32"/>
        </w:rPr>
        <w:t>（二）知识能力统一考试。</w:t>
      </w:r>
      <w:r>
        <w:rPr>
          <w:rFonts w:eastAsia="仿宋_GB2312"/>
          <w:sz w:val="32"/>
          <w:szCs w:val="32"/>
        </w:rPr>
        <w:t>主要内容：</w:t>
      </w:r>
      <w:r>
        <w:rPr>
          <w:rFonts w:hint="eastAsia" w:ascii="仿宋_GB2312" w:hAnsi="宋体" w:eastAsia="仿宋_GB2312"/>
          <w:color w:val="000000"/>
          <w:sz w:val="32"/>
          <w:szCs w:val="32"/>
        </w:rPr>
        <w:t>主要以当年度的国家公务员考试资料为主要复习内容。考试科目为行政职业能力</w:t>
      </w:r>
      <w:r>
        <w:rPr>
          <w:rFonts w:hint="eastAsia" w:ascii="仿宋_GB2312" w:hAnsi="宋体" w:eastAsia="仿宋_GB2312"/>
          <w:color w:val="000000" w:themeColor="text1"/>
          <w:sz w:val="32"/>
          <w:szCs w:val="32"/>
          <w14:textFill>
            <w14:solidFill>
              <w14:schemeClr w14:val="tx1"/>
            </w14:solidFill>
          </w14:textFill>
        </w:rPr>
        <w:t>测验</w:t>
      </w:r>
      <w:r>
        <w:rPr>
          <w:rFonts w:hint="eastAsia" w:ascii="仿宋_GB2312" w:hAnsi="宋体" w:eastAsia="仿宋_GB2312"/>
          <w:color w:val="000000"/>
          <w:sz w:val="32"/>
          <w:szCs w:val="32"/>
        </w:rPr>
        <w:t>和申论</w:t>
      </w:r>
      <w:r>
        <w:rPr>
          <w:rFonts w:eastAsia="仿宋_GB2312"/>
          <w:color w:val="000000" w:themeColor="text1"/>
          <w:sz w:val="32"/>
          <w:szCs w:val="32"/>
          <w14:textFill>
            <w14:solidFill>
              <w14:schemeClr w14:val="tx1"/>
            </w14:solidFill>
          </w14:textFill>
        </w:rPr>
        <w:t>。</w:t>
      </w:r>
    </w:p>
    <w:p>
      <w:pPr>
        <w:spacing w:line="600" w:lineRule="exact"/>
        <w:ind w:firstLine="645"/>
        <w:rPr>
          <w:rFonts w:eastAsia="仿宋_GB2312"/>
          <w:sz w:val="32"/>
          <w:szCs w:val="32"/>
        </w:rPr>
      </w:pPr>
      <w:r>
        <w:rPr>
          <w:rFonts w:hint="eastAsia" w:ascii="楷体_GB2312" w:eastAsia="楷体_GB2312"/>
          <w:b/>
          <w:sz w:val="32"/>
          <w:szCs w:val="32"/>
        </w:rPr>
        <w:t>（三）面试。</w:t>
      </w:r>
      <w:r>
        <w:rPr>
          <w:rFonts w:eastAsia="仿宋_GB2312"/>
          <w:sz w:val="32"/>
          <w:szCs w:val="32"/>
        </w:rPr>
        <w:t>主要了解接收对象的综合分析能力、语言表达能力、应变能力、组织协调能力、人际交往意识、自我情绪控制能力、入伍动机、行为举止和形象气质等。</w:t>
      </w:r>
    </w:p>
    <w:p>
      <w:pPr>
        <w:spacing w:line="600" w:lineRule="exact"/>
        <w:ind w:firstLine="645"/>
        <w:rPr>
          <w:rFonts w:eastAsia="仿宋_GB2312"/>
          <w:sz w:val="32"/>
          <w:szCs w:val="32"/>
        </w:rPr>
      </w:pPr>
      <w:r>
        <w:rPr>
          <w:rFonts w:hint="eastAsia" w:ascii="楷体_GB2312" w:eastAsia="楷体_GB2312"/>
          <w:b/>
          <w:sz w:val="32"/>
          <w:szCs w:val="32"/>
        </w:rPr>
        <w:t>（四）身体检查。</w:t>
      </w:r>
      <w:r>
        <w:rPr>
          <w:rFonts w:eastAsia="仿宋_GB2312"/>
          <w:sz w:val="32"/>
          <w:szCs w:val="32"/>
        </w:rPr>
        <w:t>由</w:t>
      </w:r>
      <w:r>
        <w:rPr>
          <w:rFonts w:hint="eastAsia" w:eastAsia="仿宋_GB2312"/>
          <w:sz w:val="32"/>
          <w:szCs w:val="32"/>
        </w:rPr>
        <w:t>新疆公安厅警卫局</w:t>
      </w:r>
      <w:r>
        <w:rPr>
          <w:rFonts w:eastAsia="仿宋_GB2312"/>
          <w:sz w:val="32"/>
          <w:szCs w:val="32"/>
        </w:rPr>
        <w:t>指定医院组织实施。</w:t>
      </w:r>
    </w:p>
    <w:p>
      <w:pPr>
        <w:spacing w:line="600" w:lineRule="exact"/>
        <w:ind w:firstLine="645"/>
        <w:rPr>
          <w:rFonts w:eastAsia="仿宋_GB2312"/>
          <w:sz w:val="32"/>
          <w:szCs w:val="32"/>
        </w:rPr>
      </w:pPr>
      <w:r>
        <w:rPr>
          <w:rFonts w:hint="eastAsia" w:ascii="楷体_GB2312" w:eastAsia="楷体_GB2312"/>
          <w:b/>
          <w:sz w:val="32"/>
          <w:szCs w:val="32"/>
        </w:rPr>
        <w:t>（五）体能测试。</w:t>
      </w:r>
      <w:r>
        <w:rPr>
          <w:rFonts w:eastAsia="仿宋_GB2312"/>
          <w:sz w:val="32"/>
          <w:szCs w:val="32"/>
        </w:rPr>
        <w:t>主要测试接收对象的体质体魄和身体协调能力。测试项目：中长跑（男生1500米在8分30秒内，女生800米在6分钟内为合格）、立定跳远（男生1.7米，女生1.6米以上为合格）、俯卧撑（男生，每分钟20个以上为合格）、仰卧起坐（女生，每分钟20个以上为合格）。</w:t>
      </w:r>
    </w:p>
    <w:p>
      <w:pPr>
        <w:spacing w:line="600" w:lineRule="exact"/>
        <w:ind w:firstLine="645"/>
        <w:rPr>
          <w:rFonts w:eastAsia="仿宋_GB2312"/>
          <w:sz w:val="32"/>
          <w:szCs w:val="32"/>
        </w:rPr>
      </w:pPr>
      <w:r>
        <w:rPr>
          <w:rFonts w:hint="eastAsia" w:ascii="楷体_GB2312" w:eastAsia="楷体_GB2312"/>
          <w:b/>
          <w:sz w:val="32"/>
          <w:szCs w:val="32"/>
        </w:rPr>
        <w:t>（六）心理素质检测。</w:t>
      </w:r>
      <w:r>
        <w:rPr>
          <w:rFonts w:eastAsia="仿宋_GB2312"/>
          <w:sz w:val="32"/>
          <w:szCs w:val="32"/>
        </w:rPr>
        <w:t>统一使用</w:t>
      </w:r>
      <w:r>
        <w:rPr>
          <w:rFonts w:hint="eastAsia" w:eastAsia="仿宋_GB2312"/>
          <w:sz w:val="32"/>
          <w:szCs w:val="32"/>
        </w:rPr>
        <w:t>专业测试</w:t>
      </w:r>
      <w:r>
        <w:rPr>
          <w:rFonts w:eastAsia="仿宋_GB2312"/>
          <w:sz w:val="32"/>
          <w:szCs w:val="32"/>
        </w:rPr>
        <w:t>软件，对接收对象的性格、价值观、意志品质和气质等方面进行检测</w:t>
      </w:r>
      <w:r>
        <w:rPr>
          <w:rFonts w:hint="eastAsia" w:eastAsia="仿宋_GB2312"/>
          <w:sz w:val="32"/>
          <w:szCs w:val="32"/>
        </w:rPr>
        <w:t>，当场公布心理检测结果，测试结果不合格的不予接收</w:t>
      </w:r>
      <w:r>
        <w:rPr>
          <w:rFonts w:eastAsia="仿宋_GB2312"/>
          <w:sz w:val="32"/>
          <w:szCs w:val="32"/>
        </w:rPr>
        <w:t>。</w:t>
      </w:r>
    </w:p>
    <w:p>
      <w:pPr>
        <w:autoSpaceDN w:val="0"/>
        <w:ind w:firstLine="630" w:firstLineChars="196"/>
        <w:rPr>
          <w:rFonts w:eastAsia="仿宋_GB2312"/>
          <w:sz w:val="32"/>
          <w:szCs w:val="32"/>
        </w:rPr>
      </w:pPr>
      <w:r>
        <w:rPr>
          <w:rFonts w:hint="eastAsia" w:ascii="楷体_GB2312" w:eastAsia="楷体_GB2312"/>
          <w:b/>
          <w:sz w:val="32"/>
          <w:szCs w:val="32"/>
        </w:rPr>
        <w:t>（七）政治审查。</w:t>
      </w:r>
      <w:r>
        <w:rPr>
          <w:rFonts w:eastAsia="仿宋_GB2312"/>
          <w:sz w:val="32"/>
          <w:szCs w:val="32"/>
        </w:rPr>
        <w:t>主要内容：政治立场、政治观点、政治敏锐性和政治鉴别力；思想品德、遵纪守法和奖惩等现实表现；学习态度和学业成绩；家庭成员和主要社会关系情况；兴趣爱好和特长情况；身心健康状况。</w:t>
      </w:r>
    </w:p>
    <w:p>
      <w:pPr>
        <w:autoSpaceDN w:val="0"/>
        <w:ind w:firstLine="643" w:firstLineChars="200"/>
        <w:rPr>
          <w:rFonts w:ascii="仿宋_GB2312" w:hAnsi="宋体" w:eastAsia="仿宋_GB2312"/>
          <w:color w:val="000000"/>
          <w:sz w:val="32"/>
          <w:szCs w:val="32"/>
        </w:rPr>
      </w:pPr>
      <w:r>
        <w:rPr>
          <w:rFonts w:hint="eastAsia" w:ascii="楷体_GB2312" w:eastAsia="楷体_GB2312"/>
          <w:b/>
          <w:bCs/>
          <w:sz w:val="32"/>
          <w:szCs w:val="32"/>
        </w:rPr>
        <w:t>（八）</w:t>
      </w:r>
      <w:r>
        <w:rPr>
          <w:rFonts w:hint="eastAsia" w:ascii="楷体_GB2312" w:hAnsi="宋体" w:eastAsia="楷体_GB2312"/>
          <w:b/>
          <w:bCs/>
          <w:color w:val="000000"/>
          <w:sz w:val="32"/>
          <w:szCs w:val="32"/>
        </w:rPr>
        <w:t>签订协议。</w:t>
      </w:r>
      <w:r>
        <w:rPr>
          <w:rFonts w:hint="eastAsia" w:ascii="仿宋_GB2312" w:hAnsi="宋体" w:eastAsia="仿宋_GB2312"/>
          <w:color w:val="000000"/>
          <w:sz w:val="32"/>
          <w:szCs w:val="32"/>
        </w:rPr>
        <w:t>对符合接收条件的人员，按照接收计划综合衡量、择优确定拟接收对象，经公安厅政治部审查同意后与接收对象签订接收协议书。</w:t>
      </w:r>
    </w:p>
    <w:p>
      <w:pPr>
        <w:autoSpaceDN w:val="0"/>
        <w:ind w:firstLine="643" w:firstLineChars="200"/>
        <w:rPr>
          <w:rFonts w:ascii="仿宋_GB2312" w:hAnsi="宋体" w:eastAsia="仿宋_GB2312"/>
          <w:color w:val="000000"/>
          <w:sz w:val="32"/>
          <w:szCs w:val="32"/>
        </w:rPr>
      </w:pPr>
      <w:r>
        <w:rPr>
          <w:rFonts w:hint="eastAsia" w:ascii="楷体_GB2312" w:hAnsi="宋体" w:eastAsia="楷体_GB2312"/>
          <w:b/>
          <w:bCs/>
          <w:color w:val="000000"/>
          <w:sz w:val="32"/>
          <w:szCs w:val="32"/>
        </w:rPr>
        <w:t>（九）档案复审和录取。</w:t>
      </w:r>
      <w:r>
        <w:rPr>
          <w:rFonts w:hint="eastAsia" w:ascii="仿宋_GB2312" w:hAnsi="宋体" w:eastAsia="仿宋_GB2312"/>
          <w:color w:val="000000"/>
          <w:sz w:val="32"/>
          <w:szCs w:val="32"/>
        </w:rPr>
        <w:t>拟接收对象取得毕业证、学位证和报到证后，连同本人档案及组织关系一并</w:t>
      </w:r>
      <w:r>
        <w:rPr>
          <w:rFonts w:hint="eastAsia" w:ascii="仿宋_GB2312" w:hAnsi="宋体" w:eastAsia="仿宋_GB2312"/>
          <w:color w:val="000000" w:themeColor="text1"/>
          <w:sz w:val="32"/>
          <w:szCs w:val="32"/>
          <w:lang w:eastAsia="zh-CN"/>
          <w14:textFill>
            <w14:solidFill>
              <w14:schemeClr w14:val="tx1"/>
            </w14:solidFill>
          </w14:textFill>
        </w:rPr>
        <w:t>送至</w:t>
      </w:r>
      <w:r>
        <w:rPr>
          <w:rFonts w:hint="eastAsia" w:ascii="仿宋_GB2312" w:hAnsi="宋体" w:eastAsia="仿宋_GB2312"/>
          <w:color w:val="000000"/>
          <w:sz w:val="32"/>
          <w:szCs w:val="32"/>
        </w:rPr>
        <w:t>警卫局政治处进行审查。经公安部政治部复审合格后，按规定时间报到并参加入警培训，培训结束经当兵锻炼考核合格后安排到基层一线岗位工作。</w:t>
      </w:r>
    </w:p>
    <w:p>
      <w:pPr>
        <w:autoSpaceDN w:val="0"/>
        <w:ind w:firstLine="643" w:firstLineChars="200"/>
        <w:rPr>
          <w:rFonts w:ascii="楷体_GB2312" w:eastAsia="楷体_GB2312"/>
          <w:b/>
          <w:sz w:val="32"/>
          <w:szCs w:val="32"/>
        </w:rPr>
      </w:pPr>
      <w:r>
        <w:rPr>
          <w:rFonts w:hint="eastAsia" w:ascii="楷体_GB2312" w:hAnsi="宋体" w:eastAsia="楷体_GB2312"/>
          <w:b/>
          <w:color w:val="000000"/>
          <w:sz w:val="32"/>
          <w:szCs w:val="32"/>
        </w:rPr>
        <w:t>（十）</w:t>
      </w:r>
      <w:r>
        <w:rPr>
          <w:rFonts w:hint="eastAsia" w:ascii="楷体_GB2312" w:eastAsia="楷体_GB2312"/>
          <w:b/>
          <w:sz w:val="32"/>
          <w:szCs w:val="32"/>
        </w:rPr>
        <w:t>知识能力统一考试、面试、身体检查、体能测试、心理素质检测等接收工作初定于3月下旬组织实施，具体事宜另行通知。</w:t>
      </w:r>
    </w:p>
    <w:p>
      <w:pPr>
        <w:autoSpaceDN w:val="0"/>
        <w:ind w:firstLine="640" w:firstLineChars="200"/>
        <w:rPr>
          <w:rFonts w:ascii="黑体" w:eastAsia="黑体"/>
          <w:sz w:val="32"/>
          <w:szCs w:val="32"/>
        </w:rPr>
      </w:pPr>
      <w:r>
        <w:rPr>
          <w:rFonts w:hint="eastAsia" w:ascii="黑体" w:eastAsia="黑体"/>
          <w:sz w:val="32"/>
          <w:szCs w:val="32"/>
        </w:rPr>
        <w:t xml:space="preserve"> 五、筛选淘汰</w:t>
      </w:r>
    </w:p>
    <w:p>
      <w:pPr>
        <w:autoSpaceDN w:val="0"/>
        <w:ind w:firstLine="640" w:firstLineChars="200"/>
        <w:rPr>
          <w:rFonts w:ascii="仿宋_GB2312" w:eastAsia="仿宋_GB2312"/>
          <w:sz w:val="32"/>
          <w:szCs w:val="32"/>
        </w:rPr>
      </w:pPr>
      <w:r>
        <w:rPr>
          <w:rFonts w:hint="eastAsia" w:ascii="仿宋_GB2312" w:eastAsia="仿宋_GB2312"/>
          <w:sz w:val="32"/>
          <w:szCs w:val="32"/>
        </w:rPr>
        <w:t>根据公安部政治部有关规定，接收普通高等学校毕业生按照择优选拔的原则，从签订接收协议到下达任职命令实行全程筛选淘汰，所产生一切后果将由毕业生</w:t>
      </w:r>
      <w:r>
        <w:rPr>
          <w:rFonts w:hint="eastAsia" w:ascii="仿宋_GB2312" w:eastAsia="仿宋_GB2312"/>
          <w:color w:val="000000" w:themeColor="text1"/>
          <w:sz w:val="32"/>
          <w:szCs w:val="32"/>
          <w:lang w:eastAsia="zh-CN"/>
          <w14:textFill>
            <w14:solidFill>
              <w14:schemeClr w14:val="tx1"/>
            </w14:solidFill>
          </w14:textFill>
        </w:rPr>
        <w:t>自行承担</w:t>
      </w:r>
      <w:r>
        <w:rPr>
          <w:rFonts w:hint="eastAsia" w:ascii="仿宋_GB2312" w:eastAsia="仿宋_GB2312"/>
          <w:sz w:val="32"/>
          <w:szCs w:val="32"/>
        </w:rPr>
        <w:t>。</w:t>
      </w:r>
    </w:p>
    <w:p>
      <w:pPr>
        <w:autoSpaceDN w:val="0"/>
        <w:ind w:firstLine="643" w:firstLineChars="200"/>
        <w:rPr>
          <w:rFonts w:ascii="楷体_GB2312" w:eastAsia="楷体_GB2312"/>
          <w:b/>
          <w:sz w:val="32"/>
          <w:szCs w:val="32"/>
        </w:rPr>
      </w:pPr>
      <w:r>
        <w:rPr>
          <w:rFonts w:hint="eastAsia" w:ascii="楷体_GB2312" w:eastAsia="楷体_GB2312"/>
          <w:b/>
          <w:sz w:val="32"/>
          <w:szCs w:val="32"/>
        </w:rPr>
        <w:t>（一）复审复查淘汰</w:t>
      </w:r>
    </w:p>
    <w:p>
      <w:pPr>
        <w:autoSpaceDN w:val="0"/>
        <w:ind w:firstLine="640" w:firstLineChars="200"/>
        <w:rPr>
          <w:rFonts w:ascii="仿宋_GB2312" w:eastAsia="仿宋_GB2312"/>
          <w:sz w:val="32"/>
          <w:szCs w:val="32"/>
        </w:rPr>
      </w:pPr>
      <w:r>
        <w:rPr>
          <w:rFonts w:hint="eastAsia" w:ascii="仿宋_GB2312" w:eastAsia="仿宋_GB2312"/>
          <w:sz w:val="32"/>
          <w:szCs w:val="32"/>
        </w:rPr>
        <w:t>对已经签订接收协议的毕业生，发现或发生下列情况的，接收单位有权将其退回原学校：</w:t>
      </w:r>
    </w:p>
    <w:p>
      <w:pPr>
        <w:autoSpaceDN w:val="0"/>
        <w:ind w:firstLine="640" w:firstLineChars="200"/>
        <w:rPr>
          <w:rFonts w:ascii="仿宋_GB2312" w:eastAsia="仿宋_GB2312"/>
          <w:sz w:val="32"/>
          <w:szCs w:val="32"/>
        </w:rPr>
      </w:pPr>
      <w:r>
        <w:rPr>
          <w:rFonts w:hint="eastAsia" w:ascii="仿宋_GB2312" w:eastAsia="仿宋_GB2312"/>
          <w:sz w:val="32"/>
          <w:szCs w:val="32"/>
        </w:rPr>
        <w:t>1、未在规定时间内报到的，原则上终止协议不予接收；</w:t>
      </w:r>
    </w:p>
    <w:p>
      <w:pPr>
        <w:autoSpaceDN w:val="0"/>
        <w:ind w:firstLine="640" w:firstLineChars="200"/>
        <w:rPr>
          <w:rFonts w:ascii="仿宋_GB2312" w:eastAsia="仿宋_GB2312"/>
          <w:sz w:val="32"/>
          <w:szCs w:val="32"/>
        </w:rPr>
      </w:pPr>
      <w:r>
        <w:rPr>
          <w:rFonts w:hint="eastAsia" w:ascii="仿宋_GB2312" w:eastAsia="仿宋_GB2312"/>
          <w:sz w:val="32"/>
          <w:szCs w:val="32"/>
        </w:rPr>
        <w:t>2、报到时报到证、毕业证、学位证三证不全的；</w:t>
      </w:r>
    </w:p>
    <w:p>
      <w:pPr>
        <w:autoSpaceDN w:val="0"/>
        <w:ind w:firstLine="640" w:firstLineChars="200"/>
        <w:rPr>
          <w:rFonts w:ascii="仿宋_GB2312" w:eastAsia="仿宋_GB2312"/>
          <w:sz w:val="32"/>
          <w:szCs w:val="32"/>
        </w:rPr>
      </w:pPr>
      <w:r>
        <w:rPr>
          <w:rFonts w:hint="eastAsia" w:ascii="仿宋_GB2312" w:eastAsia="仿宋_GB2312"/>
          <w:sz w:val="32"/>
          <w:szCs w:val="32"/>
        </w:rPr>
        <w:t>3、毕业生档案未在规定时间内送达的；</w:t>
      </w:r>
    </w:p>
    <w:p>
      <w:pPr>
        <w:autoSpaceDN w:val="0"/>
        <w:ind w:firstLine="640" w:firstLineChars="200"/>
        <w:rPr>
          <w:rFonts w:ascii="仿宋_GB2312" w:eastAsia="仿宋_GB2312"/>
          <w:sz w:val="32"/>
          <w:szCs w:val="32"/>
        </w:rPr>
      </w:pPr>
      <w:r>
        <w:rPr>
          <w:rFonts w:hint="eastAsia" w:ascii="仿宋_GB2312" w:eastAsia="仿宋_GB2312"/>
          <w:sz w:val="32"/>
          <w:szCs w:val="32"/>
        </w:rPr>
        <w:t>4、毕业生档案到达后复审不合格的；</w:t>
      </w:r>
    </w:p>
    <w:p>
      <w:pPr>
        <w:autoSpaceDN w:val="0"/>
        <w:ind w:firstLine="640" w:firstLineChars="200"/>
        <w:rPr>
          <w:rFonts w:ascii="仿宋_GB2312" w:eastAsia="仿宋_GB2312"/>
          <w:sz w:val="32"/>
          <w:szCs w:val="32"/>
        </w:rPr>
      </w:pPr>
      <w:r>
        <w:rPr>
          <w:rFonts w:hint="eastAsia" w:ascii="仿宋_GB2312" w:eastAsia="仿宋_GB2312"/>
          <w:sz w:val="32"/>
          <w:szCs w:val="32"/>
        </w:rPr>
        <w:t>5、经接收单位组织身体复查不合格的。</w:t>
      </w:r>
    </w:p>
    <w:p>
      <w:pPr>
        <w:autoSpaceDN w:val="0"/>
        <w:ind w:firstLine="643" w:firstLineChars="200"/>
        <w:rPr>
          <w:rFonts w:ascii="楷体_GB2312" w:eastAsia="楷体_GB2312"/>
          <w:b/>
          <w:sz w:val="32"/>
          <w:szCs w:val="32"/>
        </w:rPr>
      </w:pPr>
      <w:r>
        <w:rPr>
          <w:rFonts w:hint="eastAsia" w:ascii="楷体_GB2312" w:eastAsia="楷体_GB2312"/>
          <w:b/>
          <w:sz w:val="32"/>
          <w:szCs w:val="32"/>
        </w:rPr>
        <w:t>（二）岗前培训淘汰</w:t>
      </w:r>
    </w:p>
    <w:p>
      <w:pPr>
        <w:autoSpaceDN w:val="0"/>
        <w:ind w:firstLine="640" w:firstLineChars="200"/>
        <w:rPr>
          <w:rFonts w:ascii="仿宋_GB2312" w:eastAsia="仿宋_GB2312"/>
          <w:sz w:val="32"/>
          <w:szCs w:val="32"/>
        </w:rPr>
      </w:pPr>
      <w:r>
        <w:rPr>
          <w:rFonts w:hint="eastAsia" w:ascii="仿宋_GB2312" w:eastAsia="仿宋_GB2312"/>
          <w:sz w:val="32"/>
          <w:szCs w:val="32"/>
        </w:rPr>
        <w:t>接收对象在为期1年培训期间的现实表现、学习训练、身体心理等情况经承训单位综合考评后，对思想不稳定、有违纪行为以及身体、心理等原因不适合部队工作的，予以淘汰。</w:t>
      </w:r>
    </w:p>
    <w:p>
      <w:pPr>
        <w:autoSpaceDN w:val="0"/>
        <w:ind w:firstLine="640" w:firstLineChars="200"/>
        <w:rPr>
          <w:rFonts w:ascii="仿宋_GB2312" w:hAnsi="宋体" w:eastAsia="仿宋_GB2312"/>
          <w:color w:val="000000"/>
          <w:sz w:val="32"/>
          <w:szCs w:val="32"/>
        </w:rPr>
      </w:pPr>
    </w:p>
    <w:p>
      <w:pPr>
        <w:autoSpaceDN w:val="0"/>
        <w:ind w:firstLine="640" w:firstLineChars="200"/>
        <w:rPr>
          <w:rFonts w:ascii="仿宋_GB2312" w:hAnsi="宋体" w:eastAsia="仿宋_GB2312"/>
          <w:color w:val="000000"/>
          <w:sz w:val="32"/>
          <w:szCs w:val="32"/>
        </w:rPr>
      </w:pPr>
    </w:p>
    <w:p>
      <w:pPr>
        <w:autoSpaceDN w:val="0"/>
        <w:ind w:firstLine="640" w:firstLineChars="200"/>
        <w:rPr>
          <w:rFonts w:ascii="仿宋_GB2312" w:hAnsi="宋体" w:eastAsia="仿宋_GB2312"/>
          <w:color w:val="000000"/>
          <w:sz w:val="32"/>
          <w:szCs w:val="32"/>
        </w:rPr>
      </w:pPr>
    </w:p>
    <w:p>
      <w:pPr>
        <w:autoSpaceDN w:val="0"/>
        <w:ind w:firstLine="640" w:firstLineChars="200"/>
        <w:rPr>
          <w:rFonts w:ascii="仿宋_GB2312" w:hAnsi="宋体" w:eastAsia="仿宋_GB2312"/>
          <w:color w:val="000000"/>
          <w:sz w:val="32"/>
          <w:szCs w:val="32"/>
        </w:rPr>
      </w:pPr>
    </w:p>
    <w:p>
      <w:pPr>
        <w:autoSpaceDN w:val="0"/>
        <w:ind w:firstLine="640" w:firstLineChars="200"/>
        <w:rPr>
          <w:rFonts w:ascii="仿宋_GB2312" w:hAnsi="宋体" w:eastAsia="仿宋_GB2312"/>
          <w:color w:val="000000"/>
          <w:sz w:val="32"/>
          <w:szCs w:val="32"/>
        </w:rPr>
      </w:pPr>
    </w:p>
    <w:p>
      <w:pPr>
        <w:autoSpaceDN w:val="0"/>
        <w:ind w:firstLine="640" w:firstLineChars="200"/>
        <w:rPr>
          <w:rFonts w:ascii="仿宋_GB2312" w:hAnsi="宋体" w:eastAsia="仿宋_GB2312"/>
          <w:color w:val="000000"/>
          <w:sz w:val="32"/>
          <w:szCs w:val="32"/>
        </w:rPr>
      </w:pPr>
    </w:p>
    <w:p>
      <w:pPr>
        <w:autoSpaceDN w:val="0"/>
        <w:ind w:firstLine="640" w:firstLineChars="200"/>
        <w:rPr>
          <w:rFonts w:ascii="仿宋_GB2312" w:hAnsi="宋体" w:eastAsia="仿宋_GB2312"/>
          <w:color w:val="000000"/>
          <w:sz w:val="32"/>
          <w:szCs w:val="32"/>
        </w:rPr>
      </w:pPr>
    </w:p>
    <w:p>
      <w:pPr>
        <w:autoSpaceDN w:val="0"/>
        <w:rPr>
          <w:rFonts w:ascii="仿宋_GB2312" w:hAnsi="宋体" w:eastAsia="仿宋_GB2312"/>
          <w:color w:val="000000"/>
          <w:sz w:val="32"/>
          <w:szCs w:val="32"/>
        </w:rPr>
      </w:pPr>
      <w:r>
        <w:rPr>
          <w:rFonts w:hint="eastAsia" w:ascii="仿宋_GB2312" w:hAnsi="宋体" w:eastAsia="仿宋_GB2312"/>
          <w:color w:val="000000"/>
          <w:sz w:val="32"/>
          <w:szCs w:val="32"/>
        </w:rPr>
        <w:t>附件1：</w:t>
      </w:r>
    </w:p>
    <w:p>
      <w:pPr>
        <w:jc w:val="center"/>
        <w:rPr>
          <w:rFonts w:ascii="楷体_GB2312" w:hAnsi="宋体" w:eastAsia="楷体_GB2312"/>
          <w:b/>
          <w:sz w:val="28"/>
          <w:szCs w:val="36"/>
        </w:rPr>
      </w:pPr>
      <w:r>
        <w:rPr>
          <w:rFonts w:hint="eastAsia" w:ascii="楷体_GB2312" w:hAnsi="Calibri" w:eastAsia="楷体_GB2312"/>
          <w:b/>
          <w:sz w:val="28"/>
          <w:szCs w:val="36"/>
        </w:rPr>
        <w:t xml:space="preserve">      新疆公安厅警卫局招收2018年度应届地方大学毕业生报名表</w:t>
      </w:r>
    </w:p>
    <w:tbl>
      <w:tblPr>
        <w:tblStyle w:val="7"/>
        <w:tblW w:w="9782"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560"/>
        <w:gridCol w:w="1350"/>
        <w:gridCol w:w="918"/>
        <w:gridCol w:w="1188"/>
        <w:gridCol w:w="1144"/>
        <w:gridCol w:w="1813"/>
        <w:gridCol w:w="18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14" w:hRule="atLeast"/>
        </w:trPr>
        <w:tc>
          <w:tcPr>
            <w:tcW w:w="1560" w:type="dxa"/>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r>
              <w:rPr>
                <w:rFonts w:hint="eastAsia" w:cs="宋体" w:asciiTheme="minorEastAsia" w:hAnsiTheme="minorEastAsia" w:eastAsiaTheme="minorEastAsia"/>
                <w:b/>
                <w:bCs/>
                <w:kern w:val="0"/>
                <w:sz w:val="24"/>
              </w:rPr>
              <w:t>姓</w:t>
            </w:r>
            <w:r>
              <w:rPr>
                <w:rFonts w:hint="eastAsia" w:asciiTheme="minorEastAsia" w:hAnsiTheme="minorEastAsia" w:eastAsiaTheme="minorEastAsia"/>
                <w:b/>
                <w:bCs/>
                <w:kern w:val="0"/>
                <w:sz w:val="24"/>
              </w:rPr>
              <w:t xml:space="preserve">  </w:t>
            </w:r>
            <w:r>
              <w:rPr>
                <w:rFonts w:hint="eastAsia" w:cs="宋体" w:asciiTheme="minorEastAsia" w:hAnsiTheme="minorEastAsia" w:eastAsiaTheme="minorEastAsia"/>
                <w:b/>
                <w:bCs/>
                <w:kern w:val="0"/>
                <w:sz w:val="24"/>
              </w:rPr>
              <w:t>名</w:t>
            </w:r>
          </w:p>
        </w:tc>
        <w:tc>
          <w:tcPr>
            <w:tcW w:w="1350" w:type="dxa"/>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p>
        </w:tc>
        <w:tc>
          <w:tcPr>
            <w:tcW w:w="918" w:type="dxa"/>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r>
              <w:rPr>
                <w:rFonts w:hint="eastAsia" w:cs="宋体" w:asciiTheme="minorEastAsia" w:hAnsiTheme="minorEastAsia" w:eastAsiaTheme="minorEastAsia"/>
                <w:b/>
                <w:bCs/>
                <w:kern w:val="0"/>
                <w:sz w:val="24"/>
              </w:rPr>
              <w:t>性</w:t>
            </w:r>
            <w:r>
              <w:rPr>
                <w:rFonts w:hint="eastAsia" w:asciiTheme="minorEastAsia" w:hAnsiTheme="minorEastAsia" w:eastAsiaTheme="minorEastAsia"/>
                <w:b/>
                <w:bCs/>
                <w:kern w:val="0"/>
                <w:sz w:val="24"/>
              </w:rPr>
              <w:t> </w:t>
            </w:r>
            <w:r>
              <w:rPr>
                <w:rFonts w:hint="eastAsia" w:cs="宋体" w:asciiTheme="minorEastAsia" w:hAnsiTheme="minorEastAsia" w:eastAsiaTheme="minorEastAsia"/>
                <w:b/>
                <w:bCs/>
                <w:kern w:val="0"/>
                <w:sz w:val="24"/>
              </w:rPr>
              <w:t>别</w:t>
            </w:r>
          </w:p>
        </w:tc>
        <w:tc>
          <w:tcPr>
            <w:tcW w:w="1188" w:type="dxa"/>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p>
        </w:tc>
        <w:tc>
          <w:tcPr>
            <w:tcW w:w="1144" w:type="dxa"/>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r>
              <w:rPr>
                <w:rFonts w:hint="eastAsia" w:cs="宋体" w:asciiTheme="minorEastAsia" w:hAnsiTheme="minorEastAsia" w:eastAsiaTheme="minorEastAsia"/>
                <w:b/>
                <w:bCs/>
                <w:kern w:val="0"/>
                <w:sz w:val="24"/>
              </w:rPr>
              <w:t>出生  年月</w:t>
            </w:r>
          </w:p>
        </w:tc>
        <w:tc>
          <w:tcPr>
            <w:tcW w:w="1813" w:type="dxa"/>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p>
        </w:tc>
        <w:tc>
          <w:tcPr>
            <w:tcW w:w="1809" w:type="dxa"/>
            <w:vMerge w:val="restart"/>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r>
              <w:rPr>
                <w:rFonts w:hint="eastAsia" w:cs="宋体" w:asciiTheme="minorEastAsia" w:hAnsiTheme="minorEastAsia" w:eastAsiaTheme="minorEastAsia"/>
                <w:b/>
                <w:kern w:val="0"/>
                <w:sz w:val="24"/>
              </w:rPr>
              <w:t xml:space="preserve">彩色红底免冠照片 </w:t>
            </w:r>
          </w:p>
          <w:p>
            <w:pPr>
              <w:widowControl/>
              <w:jc w:val="center"/>
              <w:rPr>
                <w:rFonts w:cs="宋体" w:asciiTheme="minorEastAsia" w:hAnsiTheme="minorEastAsia" w:eastAsiaTheme="minorEastAsia"/>
                <w:b/>
                <w:kern w:val="0"/>
                <w:sz w:val="24"/>
              </w:rPr>
            </w:pPr>
            <w:r>
              <w:rPr>
                <w:rFonts w:hint="eastAsia" w:cs="宋体" w:asciiTheme="minorEastAsia" w:hAnsiTheme="minorEastAsia" w:eastAsiaTheme="minorEastAsia"/>
                <w:b/>
                <w:kern w:val="0"/>
                <w:sz w:val="24"/>
              </w:rPr>
              <w:t>（一寸）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51" w:hRule="atLeast"/>
        </w:trPr>
        <w:tc>
          <w:tcPr>
            <w:tcW w:w="1560" w:type="dxa"/>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r>
              <w:rPr>
                <w:rFonts w:hint="eastAsia" w:cs="宋体" w:asciiTheme="minorEastAsia" w:hAnsiTheme="minorEastAsia" w:eastAsiaTheme="minorEastAsia"/>
                <w:b/>
                <w:kern w:val="0"/>
                <w:sz w:val="24"/>
              </w:rPr>
              <w:t>民  族</w:t>
            </w:r>
          </w:p>
        </w:tc>
        <w:tc>
          <w:tcPr>
            <w:tcW w:w="1350" w:type="dxa"/>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p>
        </w:tc>
        <w:tc>
          <w:tcPr>
            <w:tcW w:w="918" w:type="dxa"/>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r>
              <w:rPr>
                <w:rFonts w:hint="eastAsia" w:cs="宋体" w:asciiTheme="minorEastAsia" w:hAnsiTheme="minorEastAsia" w:eastAsiaTheme="minorEastAsia"/>
                <w:b/>
                <w:bCs/>
                <w:kern w:val="0"/>
                <w:sz w:val="24"/>
              </w:rPr>
              <w:t>籍</w:t>
            </w:r>
            <w:r>
              <w:rPr>
                <w:rFonts w:hint="eastAsia" w:asciiTheme="minorEastAsia" w:hAnsiTheme="minorEastAsia" w:eastAsiaTheme="minorEastAsia"/>
                <w:b/>
                <w:bCs/>
                <w:kern w:val="0"/>
                <w:sz w:val="24"/>
              </w:rPr>
              <w:t> </w:t>
            </w:r>
            <w:r>
              <w:rPr>
                <w:rFonts w:hint="eastAsia" w:cs="宋体" w:asciiTheme="minorEastAsia" w:hAnsiTheme="minorEastAsia" w:eastAsiaTheme="minorEastAsia"/>
                <w:b/>
                <w:bCs/>
                <w:kern w:val="0"/>
                <w:sz w:val="24"/>
              </w:rPr>
              <w:t>贯</w:t>
            </w:r>
          </w:p>
        </w:tc>
        <w:tc>
          <w:tcPr>
            <w:tcW w:w="1188" w:type="dxa"/>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p>
        </w:tc>
        <w:tc>
          <w:tcPr>
            <w:tcW w:w="1144" w:type="dxa"/>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r>
              <w:rPr>
                <w:rFonts w:hint="eastAsia" w:cs="宋体" w:asciiTheme="minorEastAsia" w:hAnsiTheme="minorEastAsia" w:eastAsiaTheme="minorEastAsia"/>
                <w:b/>
                <w:bCs/>
                <w:kern w:val="0"/>
                <w:sz w:val="24"/>
              </w:rPr>
              <w:t>政治  面貌</w:t>
            </w:r>
          </w:p>
        </w:tc>
        <w:tc>
          <w:tcPr>
            <w:tcW w:w="1813" w:type="dxa"/>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p>
        </w:tc>
        <w:tc>
          <w:tcPr>
            <w:tcW w:w="1809" w:type="dxa"/>
            <w:vMerge w:val="continue"/>
            <w:vAlign w:val="center"/>
          </w:tcPr>
          <w:p>
            <w:pPr>
              <w:widowControl/>
              <w:jc w:val="left"/>
              <w:rPr>
                <w:rFonts w:cs="宋体" w:asciiTheme="minorEastAsia" w:hAnsiTheme="minorEastAsia" w:eastAsiaTheme="minorEastAsia"/>
                <w:b/>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92" w:hRule="atLeast"/>
        </w:trPr>
        <w:tc>
          <w:tcPr>
            <w:tcW w:w="1560" w:type="dxa"/>
            <w:vMerge w:val="restart"/>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r>
              <w:rPr>
                <w:rFonts w:hint="eastAsia" w:cs="宋体" w:asciiTheme="minorEastAsia" w:hAnsiTheme="minorEastAsia" w:eastAsiaTheme="minorEastAsia"/>
                <w:b/>
                <w:kern w:val="0"/>
                <w:sz w:val="24"/>
              </w:rPr>
              <w:t>视 力</w:t>
            </w:r>
          </w:p>
        </w:tc>
        <w:tc>
          <w:tcPr>
            <w:tcW w:w="1350" w:type="dxa"/>
            <w:vMerge w:val="restart"/>
            <w:tcMar>
              <w:top w:w="0" w:type="dxa"/>
              <w:left w:w="108" w:type="dxa"/>
              <w:bottom w:w="0" w:type="dxa"/>
              <w:right w:w="108" w:type="dxa"/>
            </w:tcMar>
            <w:vAlign w:val="center"/>
          </w:tcPr>
          <w:p>
            <w:pPr>
              <w:widowControl/>
              <w:rPr>
                <w:rFonts w:hint="eastAsia" w:cs="宋体" w:asciiTheme="minorEastAsia" w:hAnsiTheme="minorEastAsia" w:eastAsiaTheme="minorEastAsia"/>
                <w:b/>
                <w:kern w:val="0"/>
                <w:sz w:val="24"/>
              </w:rPr>
            </w:pPr>
            <w:r>
              <w:rPr>
                <w:rFonts w:hint="eastAsia" w:cs="宋体" w:asciiTheme="minorEastAsia" w:hAnsiTheme="minorEastAsia" w:eastAsiaTheme="minorEastAsia"/>
                <w:b/>
                <w:kern w:val="0"/>
                <w:sz w:val="24"/>
              </w:rPr>
              <w:t>左：</w:t>
            </w:r>
          </w:p>
          <w:p>
            <w:pPr>
              <w:widowControl/>
              <w:rPr>
                <w:rFonts w:hint="eastAsia" w:cs="宋体" w:asciiTheme="minorEastAsia" w:hAnsiTheme="minorEastAsia" w:eastAsiaTheme="minorEastAsia"/>
                <w:b/>
                <w:kern w:val="0"/>
                <w:sz w:val="24"/>
              </w:rPr>
            </w:pPr>
          </w:p>
          <w:p>
            <w:pPr>
              <w:widowControl/>
              <w:rPr>
                <w:rFonts w:cs="宋体" w:asciiTheme="minorEastAsia" w:hAnsiTheme="minorEastAsia" w:eastAsiaTheme="minorEastAsia"/>
                <w:b/>
                <w:kern w:val="0"/>
                <w:sz w:val="24"/>
              </w:rPr>
            </w:pPr>
            <w:r>
              <w:rPr>
                <w:rFonts w:hint="eastAsia" w:cs="宋体" w:asciiTheme="minorEastAsia" w:hAnsiTheme="minorEastAsia" w:eastAsiaTheme="minorEastAsia"/>
                <w:b/>
                <w:kern w:val="0"/>
                <w:sz w:val="24"/>
              </w:rPr>
              <w:t>右:</w:t>
            </w:r>
          </w:p>
        </w:tc>
        <w:tc>
          <w:tcPr>
            <w:tcW w:w="918" w:type="dxa"/>
            <w:tcMar>
              <w:top w:w="0" w:type="dxa"/>
              <w:left w:w="108" w:type="dxa"/>
              <w:bottom w:w="0" w:type="dxa"/>
              <w:right w:w="108" w:type="dxa"/>
            </w:tcMar>
            <w:vAlign w:val="center"/>
          </w:tcPr>
          <w:p>
            <w:pPr>
              <w:widowControl/>
              <w:jc w:val="left"/>
              <w:rPr>
                <w:rFonts w:cs="宋体" w:asciiTheme="minorEastAsia" w:hAnsiTheme="minorEastAsia" w:eastAsiaTheme="minorEastAsia"/>
                <w:b/>
                <w:kern w:val="0"/>
                <w:sz w:val="24"/>
              </w:rPr>
            </w:pPr>
            <w:r>
              <w:rPr>
                <w:rFonts w:hint="eastAsia" w:cs="宋体" w:asciiTheme="minorEastAsia" w:hAnsiTheme="minorEastAsia" w:eastAsiaTheme="minorEastAsia"/>
                <w:b/>
                <w:bCs/>
                <w:kern w:val="0"/>
                <w:sz w:val="24"/>
              </w:rPr>
              <w:t>身</w:t>
            </w:r>
            <w:r>
              <w:rPr>
                <w:rFonts w:hint="eastAsia" w:asciiTheme="minorEastAsia" w:hAnsiTheme="minorEastAsia" w:eastAsiaTheme="minorEastAsia"/>
                <w:b/>
                <w:bCs/>
                <w:kern w:val="0"/>
                <w:sz w:val="24"/>
              </w:rPr>
              <w:t> </w:t>
            </w:r>
            <w:r>
              <w:rPr>
                <w:rFonts w:hint="eastAsia" w:cs="宋体" w:asciiTheme="minorEastAsia" w:hAnsiTheme="minorEastAsia" w:eastAsiaTheme="minorEastAsia"/>
                <w:b/>
                <w:bCs/>
                <w:kern w:val="0"/>
                <w:sz w:val="24"/>
              </w:rPr>
              <w:t>高（CM）</w:t>
            </w:r>
          </w:p>
        </w:tc>
        <w:tc>
          <w:tcPr>
            <w:tcW w:w="1188" w:type="dxa"/>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p>
        </w:tc>
        <w:tc>
          <w:tcPr>
            <w:tcW w:w="1144" w:type="dxa"/>
            <w:vMerge w:val="restart"/>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r>
              <w:rPr>
                <w:rFonts w:hint="eastAsia" w:cs="宋体" w:asciiTheme="minorEastAsia" w:hAnsiTheme="minorEastAsia" w:eastAsiaTheme="minorEastAsia"/>
                <w:b/>
                <w:kern w:val="0"/>
                <w:sz w:val="24"/>
              </w:rPr>
              <w:t>联系  方式</w:t>
            </w:r>
          </w:p>
        </w:tc>
        <w:tc>
          <w:tcPr>
            <w:tcW w:w="1813" w:type="dxa"/>
            <w:vMerge w:val="restart"/>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p>
        </w:tc>
        <w:tc>
          <w:tcPr>
            <w:tcW w:w="1809" w:type="dxa"/>
            <w:vMerge w:val="continue"/>
            <w:vAlign w:val="center"/>
          </w:tcPr>
          <w:p>
            <w:pPr>
              <w:widowControl/>
              <w:jc w:val="left"/>
              <w:rPr>
                <w:rFonts w:cs="宋体" w:asciiTheme="minorEastAsia" w:hAnsiTheme="minorEastAsia" w:eastAsiaTheme="minorEastAsia"/>
                <w:b/>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03" w:hRule="atLeast"/>
        </w:trPr>
        <w:tc>
          <w:tcPr>
            <w:tcW w:w="1560" w:type="dxa"/>
            <w:vMerge w:val="continue"/>
            <w:tcMar>
              <w:top w:w="0" w:type="dxa"/>
              <w:left w:w="108" w:type="dxa"/>
              <w:bottom w:w="0" w:type="dxa"/>
              <w:right w:w="108" w:type="dxa"/>
            </w:tcMar>
            <w:vAlign w:val="center"/>
          </w:tcPr>
          <w:p>
            <w:pPr>
              <w:widowControl/>
              <w:jc w:val="center"/>
              <w:rPr>
                <w:rFonts w:hint="eastAsia" w:cs="宋体" w:asciiTheme="minorEastAsia" w:hAnsiTheme="minorEastAsia" w:eastAsiaTheme="minorEastAsia"/>
                <w:b/>
                <w:kern w:val="0"/>
                <w:sz w:val="24"/>
              </w:rPr>
            </w:pPr>
          </w:p>
        </w:tc>
        <w:tc>
          <w:tcPr>
            <w:tcW w:w="1350" w:type="dxa"/>
            <w:vMerge w:val="continue"/>
            <w:tcBorders/>
            <w:vAlign w:val="center"/>
          </w:tcPr>
          <w:p>
            <w:pPr>
              <w:widowControl/>
              <w:ind w:firstLine="120" w:firstLineChars="50"/>
              <w:rPr>
                <w:rFonts w:cs="宋体" w:asciiTheme="minorEastAsia" w:hAnsiTheme="minorEastAsia" w:eastAsiaTheme="minorEastAsia"/>
                <w:b/>
                <w:kern w:val="0"/>
                <w:sz w:val="24"/>
              </w:rPr>
            </w:pPr>
          </w:p>
        </w:tc>
        <w:tc>
          <w:tcPr>
            <w:tcW w:w="918" w:type="dxa"/>
            <w:vAlign w:val="center"/>
          </w:tcPr>
          <w:p>
            <w:pPr>
              <w:widowControl/>
              <w:jc w:val="center"/>
              <w:rPr>
                <w:rFonts w:cs="宋体" w:asciiTheme="minorEastAsia" w:hAnsiTheme="minorEastAsia" w:eastAsiaTheme="minorEastAsia"/>
                <w:b/>
                <w:kern w:val="0"/>
                <w:sz w:val="24"/>
              </w:rPr>
            </w:pPr>
            <w:r>
              <w:rPr>
                <w:rFonts w:hint="eastAsia" w:cs="宋体" w:asciiTheme="minorEastAsia" w:hAnsiTheme="minorEastAsia" w:eastAsiaTheme="minorEastAsia"/>
                <w:b/>
                <w:kern w:val="0"/>
                <w:sz w:val="24"/>
              </w:rPr>
              <w:t>体重(KG)</w:t>
            </w:r>
          </w:p>
        </w:tc>
        <w:tc>
          <w:tcPr>
            <w:tcW w:w="1188" w:type="dxa"/>
            <w:vAlign w:val="center"/>
          </w:tcPr>
          <w:p>
            <w:pPr>
              <w:widowControl/>
              <w:jc w:val="center"/>
              <w:rPr>
                <w:rFonts w:hint="eastAsia" w:cs="宋体" w:asciiTheme="minorEastAsia" w:hAnsiTheme="minorEastAsia" w:eastAsiaTheme="minorEastAsia"/>
                <w:b/>
                <w:kern w:val="0"/>
                <w:sz w:val="24"/>
              </w:rPr>
            </w:pPr>
          </w:p>
        </w:tc>
        <w:tc>
          <w:tcPr>
            <w:tcW w:w="1144" w:type="dxa"/>
            <w:vMerge w:val="continue"/>
            <w:vAlign w:val="center"/>
          </w:tcPr>
          <w:p>
            <w:pPr>
              <w:widowControl/>
              <w:jc w:val="center"/>
              <w:rPr>
                <w:rFonts w:hint="eastAsia" w:cs="宋体" w:asciiTheme="minorEastAsia" w:hAnsiTheme="minorEastAsia" w:eastAsiaTheme="minorEastAsia"/>
                <w:b/>
                <w:kern w:val="0"/>
                <w:sz w:val="24"/>
              </w:rPr>
            </w:pPr>
          </w:p>
        </w:tc>
        <w:tc>
          <w:tcPr>
            <w:tcW w:w="1813" w:type="dxa"/>
            <w:vMerge w:val="continue"/>
            <w:vAlign w:val="center"/>
          </w:tcPr>
          <w:p>
            <w:pPr>
              <w:widowControl/>
              <w:jc w:val="center"/>
              <w:rPr>
                <w:rFonts w:cs="宋体" w:asciiTheme="minorEastAsia" w:hAnsiTheme="minorEastAsia" w:eastAsiaTheme="minorEastAsia"/>
                <w:b/>
                <w:kern w:val="0"/>
                <w:sz w:val="24"/>
              </w:rPr>
            </w:pPr>
          </w:p>
        </w:tc>
        <w:tc>
          <w:tcPr>
            <w:tcW w:w="1809" w:type="dxa"/>
            <w:vMerge w:val="continue"/>
            <w:vAlign w:val="center"/>
          </w:tcPr>
          <w:p>
            <w:pPr>
              <w:widowControl/>
              <w:jc w:val="center"/>
              <w:rPr>
                <w:rFonts w:cs="宋体" w:asciiTheme="minorEastAsia" w:hAnsiTheme="minorEastAsia" w:eastAsiaTheme="minorEastAsia"/>
                <w:b/>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25" w:hRule="atLeast"/>
        </w:trPr>
        <w:tc>
          <w:tcPr>
            <w:tcW w:w="1560" w:type="dxa"/>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r>
              <w:rPr>
                <w:rFonts w:hint="eastAsia" w:cs="宋体" w:asciiTheme="minorEastAsia" w:hAnsiTheme="minorEastAsia" w:eastAsiaTheme="minorEastAsia"/>
                <w:b/>
                <w:kern w:val="0"/>
                <w:sz w:val="24"/>
              </w:rPr>
              <w:t>是否服兵役</w:t>
            </w:r>
          </w:p>
        </w:tc>
        <w:tc>
          <w:tcPr>
            <w:tcW w:w="2268" w:type="dxa"/>
            <w:gridSpan w:val="2"/>
            <w:vAlign w:val="center"/>
          </w:tcPr>
          <w:p>
            <w:pPr>
              <w:widowControl/>
              <w:jc w:val="center"/>
              <w:rPr>
                <w:rFonts w:cs="宋体" w:asciiTheme="minorEastAsia" w:hAnsiTheme="minorEastAsia" w:eastAsiaTheme="minorEastAsia"/>
                <w:b/>
                <w:kern w:val="0"/>
                <w:sz w:val="24"/>
              </w:rPr>
            </w:pPr>
          </w:p>
        </w:tc>
        <w:tc>
          <w:tcPr>
            <w:tcW w:w="2332" w:type="dxa"/>
            <w:gridSpan w:val="2"/>
            <w:vAlign w:val="center"/>
          </w:tcPr>
          <w:p>
            <w:pPr>
              <w:widowControl/>
              <w:jc w:val="center"/>
              <w:rPr>
                <w:rFonts w:cs="宋体" w:asciiTheme="minorEastAsia" w:hAnsiTheme="minorEastAsia" w:eastAsiaTheme="minorEastAsia"/>
                <w:b/>
                <w:kern w:val="0"/>
                <w:sz w:val="24"/>
              </w:rPr>
            </w:pPr>
            <w:r>
              <w:rPr>
                <w:rFonts w:hint="eastAsia" w:cs="宋体" w:asciiTheme="minorEastAsia" w:hAnsiTheme="minorEastAsia" w:eastAsiaTheme="minorEastAsia"/>
                <w:b/>
                <w:kern w:val="0"/>
                <w:sz w:val="24"/>
              </w:rPr>
              <w:t>是否公安现役部队</w:t>
            </w:r>
          </w:p>
          <w:p>
            <w:pPr>
              <w:widowControl/>
              <w:jc w:val="center"/>
              <w:rPr>
                <w:rFonts w:cs="宋体" w:asciiTheme="minorEastAsia" w:hAnsiTheme="minorEastAsia" w:eastAsiaTheme="minorEastAsia"/>
                <w:b/>
                <w:kern w:val="0"/>
                <w:sz w:val="24"/>
              </w:rPr>
            </w:pPr>
            <w:r>
              <w:rPr>
                <w:rFonts w:hint="eastAsia" w:cs="宋体" w:asciiTheme="minorEastAsia" w:hAnsiTheme="minorEastAsia" w:eastAsiaTheme="minorEastAsia"/>
                <w:b/>
                <w:kern w:val="0"/>
                <w:sz w:val="24"/>
              </w:rPr>
              <w:t>干部子女</w:t>
            </w:r>
          </w:p>
        </w:tc>
        <w:tc>
          <w:tcPr>
            <w:tcW w:w="1813" w:type="dxa"/>
            <w:vAlign w:val="center"/>
          </w:tcPr>
          <w:p>
            <w:pPr>
              <w:widowControl/>
              <w:jc w:val="center"/>
              <w:rPr>
                <w:rFonts w:cs="宋体" w:asciiTheme="minorEastAsia" w:hAnsiTheme="minorEastAsia" w:eastAsiaTheme="minorEastAsia"/>
                <w:b/>
                <w:kern w:val="0"/>
                <w:sz w:val="24"/>
              </w:rPr>
            </w:pPr>
          </w:p>
        </w:tc>
        <w:tc>
          <w:tcPr>
            <w:tcW w:w="1809" w:type="dxa"/>
            <w:vMerge w:val="continue"/>
            <w:vAlign w:val="center"/>
          </w:tcPr>
          <w:p>
            <w:pPr>
              <w:widowControl/>
              <w:jc w:val="center"/>
              <w:rPr>
                <w:rFonts w:cs="宋体" w:asciiTheme="minorEastAsia" w:hAnsiTheme="minorEastAsia" w:eastAsiaTheme="minorEastAsia"/>
                <w:b/>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17" w:hRule="atLeast"/>
        </w:trPr>
        <w:tc>
          <w:tcPr>
            <w:tcW w:w="1560" w:type="dxa"/>
            <w:tcMar>
              <w:top w:w="0" w:type="dxa"/>
              <w:left w:w="108" w:type="dxa"/>
              <w:bottom w:w="0" w:type="dxa"/>
              <w:right w:w="108" w:type="dxa"/>
            </w:tcMar>
            <w:vAlign w:val="center"/>
          </w:tcPr>
          <w:p>
            <w:pPr>
              <w:widowControl/>
              <w:jc w:val="center"/>
              <w:rPr>
                <w:rFonts w:cs="宋体" w:asciiTheme="minorEastAsia" w:hAnsiTheme="minorEastAsia" w:eastAsiaTheme="minorEastAsia"/>
                <w:b/>
                <w:bCs/>
                <w:kern w:val="0"/>
                <w:sz w:val="24"/>
              </w:rPr>
            </w:pPr>
            <w:r>
              <w:rPr>
                <w:rFonts w:hint="eastAsia" w:cs="宋体" w:asciiTheme="minorEastAsia" w:hAnsiTheme="minorEastAsia" w:eastAsiaTheme="minorEastAsia"/>
                <w:b/>
                <w:bCs/>
                <w:kern w:val="0"/>
                <w:sz w:val="24"/>
              </w:rPr>
              <w:t>学校及专业</w:t>
            </w:r>
          </w:p>
          <w:p>
            <w:pPr>
              <w:widowControl/>
              <w:jc w:val="center"/>
              <w:rPr>
                <w:rFonts w:cs="宋体" w:asciiTheme="minorEastAsia" w:hAnsiTheme="minorEastAsia" w:eastAsiaTheme="minorEastAsia"/>
                <w:b/>
                <w:bCs/>
                <w:kern w:val="0"/>
                <w:sz w:val="24"/>
              </w:rPr>
            </w:pPr>
            <w:r>
              <w:rPr>
                <w:rFonts w:hint="eastAsia" w:cs="宋体" w:asciiTheme="minorEastAsia" w:hAnsiTheme="minorEastAsia" w:eastAsiaTheme="minorEastAsia"/>
                <w:b/>
                <w:bCs/>
                <w:kern w:val="0"/>
                <w:sz w:val="24"/>
              </w:rPr>
              <w:t>（学校填写至二级学院）</w:t>
            </w:r>
          </w:p>
        </w:tc>
        <w:tc>
          <w:tcPr>
            <w:tcW w:w="8222" w:type="dxa"/>
            <w:gridSpan w:val="6"/>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17" w:hRule="atLeast"/>
        </w:trPr>
        <w:tc>
          <w:tcPr>
            <w:tcW w:w="1560" w:type="dxa"/>
            <w:tcMar>
              <w:top w:w="0" w:type="dxa"/>
              <w:left w:w="108" w:type="dxa"/>
              <w:bottom w:w="0" w:type="dxa"/>
              <w:right w:w="108" w:type="dxa"/>
            </w:tcMar>
            <w:vAlign w:val="center"/>
          </w:tcPr>
          <w:p>
            <w:pPr>
              <w:widowControl/>
              <w:jc w:val="center"/>
              <w:rPr>
                <w:rFonts w:cs="宋体" w:asciiTheme="minorEastAsia" w:hAnsiTheme="minorEastAsia" w:eastAsiaTheme="minorEastAsia"/>
                <w:b/>
                <w:bCs/>
                <w:kern w:val="0"/>
                <w:sz w:val="24"/>
              </w:rPr>
            </w:pPr>
            <w:r>
              <w:rPr>
                <w:rFonts w:hint="eastAsia" w:cs="宋体" w:asciiTheme="minorEastAsia" w:hAnsiTheme="minorEastAsia" w:eastAsiaTheme="minorEastAsia"/>
                <w:b/>
                <w:bCs/>
                <w:kern w:val="0"/>
                <w:sz w:val="24"/>
              </w:rPr>
              <w:t>身份证号</w:t>
            </w:r>
          </w:p>
        </w:tc>
        <w:tc>
          <w:tcPr>
            <w:tcW w:w="8222" w:type="dxa"/>
            <w:gridSpan w:val="6"/>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55" w:hRule="atLeast"/>
        </w:trPr>
        <w:tc>
          <w:tcPr>
            <w:tcW w:w="1560" w:type="dxa"/>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r>
              <w:rPr>
                <w:rFonts w:hint="eastAsia" w:cs="宋体" w:asciiTheme="minorEastAsia" w:hAnsiTheme="minorEastAsia" w:eastAsiaTheme="minorEastAsia"/>
                <w:b/>
                <w:bCs/>
                <w:kern w:val="0"/>
                <w:sz w:val="24"/>
              </w:rPr>
              <w:t>家庭住址</w:t>
            </w:r>
          </w:p>
        </w:tc>
        <w:tc>
          <w:tcPr>
            <w:tcW w:w="8222" w:type="dxa"/>
            <w:gridSpan w:val="6"/>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396" w:hRule="atLeast"/>
        </w:trPr>
        <w:tc>
          <w:tcPr>
            <w:tcW w:w="1560" w:type="dxa"/>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r>
              <w:rPr>
                <w:rFonts w:hint="eastAsia" w:cs="宋体" w:asciiTheme="minorEastAsia" w:hAnsiTheme="minorEastAsia" w:eastAsiaTheme="minorEastAsia"/>
                <w:b/>
                <w:bCs/>
                <w:kern w:val="0"/>
                <w:sz w:val="24"/>
              </w:rPr>
              <w:t>直系亲属  情况     （姓名、性别、年龄、政治面貌、职业）</w:t>
            </w:r>
          </w:p>
        </w:tc>
        <w:tc>
          <w:tcPr>
            <w:tcW w:w="8222" w:type="dxa"/>
            <w:gridSpan w:val="6"/>
            <w:tcMar>
              <w:top w:w="0" w:type="dxa"/>
              <w:left w:w="108" w:type="dxa"/>
              <w:bottom w:w="0" w:type="dxa"/>
              <w:right w:w="108" w:type="dxa"/>
            </w:tcMar>
            <w:vAlign w:val="center"/>
          </w:tcPr>
          <w:p>
            <w:pPr>
              <w:rPr>
                <w:rFonts w:asciiTheme="minorEastAsia" w:hAnsiTheme="minorEastAsia" w:eastAsiaTheme="minorEastAsia"/>
                <w:b/>
                <w:sz w:val="24"/>
              </w:rPr>
            </w:pPr>
            <w:r>
              <w:fldChar w:fldCharType="begin"/>
            </w:r>
            <w:r>
              <w:instrText xml:space="preserve"> HYPERLINK "mailto:552030625@qq.com" \t "_blank" </w:instrText>
            </w:r>
            <w:r>
              <w:fldChar w:fldCharType="separate"/>
            </w:r>
            <w: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814" w:hRule="atLeast"/>
        </w:trPr>
        <w:tc>
          <w:tcPr>
            <w:tcW w:w="1560" w:type="dxa"/>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r>
              <w:rPr>
                <w:rFonts w:hint="eastAsia" w:cs="宋体" w:asciiTheme="minorEastAsia" w:hAnsiTheme="minorEastAsia" w:eastAsiaTheme="minorEastAsia"/>
                <w:b/>
                <w:kern w:val="0"/>
                <w:sz w:val="24"/>
              </w:rPr>
              <w:t>获奖情况</w:t>
            </w:r>
          </w:p>
        </w:tc>
        <w:tc>
          <w:tcPr>
            <w:tcW w:w="8222" w:type="dxa"/>
            <w:gridSpan w:val="6"/>
            <w:tcMar>
              <w:top w:w="0" w:type="dxa"/>
              <w:left w:w="108" w:type="dxa"/>
              <w:bottom w:w="0" w:type="dxa"/>
              <w:right w:w="108" w:type="dxa"/>
            </w:tcMar>
            <w:vAlign w:val="center"/>
          </w:tcPr>
          <w:p>
            <w:pPr>
              <w:widowControl/>
              <w:spacing w:line="315" w:lineRule="atLeast"/>
              <w:jc w:val="left"/>
              <w:rPr>
                <w:rFonts w:cs="宋体" w:asciiTheme="minorEastAsia" w:hAnsiTheme="minorEastAsia" w:eastAsiaTheme="minorEastAsia"/>
                <w:b/>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435" w:hRule="atLeast"/>
        </w:trPr>
        <w:tc>
          <w:tcPr>
            <w:tcW w:w="1560" w:type="dxa"/>
            <w:tcMar>
              <w:top w:w="0" w:type="dxa"/>
              <w:left w:w="108" w:type="dxa"/>
              <w:bottom w:w="0" w:type="dxa"/>
              <w:right w:w="108" w:type="dxa"/>
            </w:tcMar>
            <w:vAlign w:val="center"/>
          </w:tcPr>
          <w:p>
            <w:pPr>
              <w:widowControl/>
              <w:jc w:val="center"/>
              <w:rPr>
                <w:rFonts w:cs="宋体" w:asciiTheme="minorEastAsia" w:hAnsiTheme="minorEastAsia" w:eastAsiaTheme="minorEastAsia"/>
                <w:b/>
                <w:bCs/>
                <w:kern w:val="0"/>
                <w:sz w:val="24"/>
              </w:rPr>
            </w:pPr>
            <w:r>
              <w:rPr>
                <w:rFonts w:hint="eastAsia" w:cs="宋体" w:asciiTheme="minorEastAsia" w:hAnsiTheme="minorEastAsia" w:eastAsiaTheme="minorEastAsia"/>
                <w:b/>
                <w:bCs/>
                <w:kern w:val="0"/>
                <w:sz w:val="24"/>
              </w:rPr>
              <w:t>社会实践</w:t>
            </w:r>
          </w:p>
          <w:p>
            <w:pPr>
              <w:widowControl/>
              <w:jc w:val="center"/>
              <w:rPr>
                <w:rFonts w:cs="宋体" w:asciiTheme="minorEastAsia" w:hAnsiTheme="minorEastAsia" w:eastAsiaTheme="minorEastAsia"/>
                <w:b/>
                <w:kern w:val="0"/>
                <w:sz w:val="24"/>
              </w:rPr>
            </w:pPr>
            <w:r>
              <w:rPr>
                <w:rFonts w:hint="eastAsia" w:cs="宋体" w:asciiTheme="minorEastAsia" w:hAnsiTheme="minorEastAsia" w:eastAsiaTheme="minorEastAsia"/>
                <w:b/>
                <w:bCs/>
                <w:kern w:val="0"/>
                <w:sz w:val="24"/>
              </w:rPr>
              <w:t>经历</w:t>
            </w:r>
          </w:p>
        </w:tc>
        <w:tc>
          <w:tcPr>
            <w:tcW w:w="8222" w:type="dxa"/>
            <w:gridSpan w:val="6"/>
            <w:tcMar>
              <w:top w:w="0" w:type="dxa"/>
              <w:left w:w="108" w:type="dxa"/>
              <w:bottom w:w="0" w:type="dxa"/>
              <w:right w:w="108" w:type="dxa"/>
            </w:tcMar>
            <w:vAlign w:val="center"/>
          </w:tcPr>
          <w:p>
            <w:pPr>
              <w:widowControl/>
              <w:spacing w:line="400" w:lineRule="atLeast"/>
              <w:jc w:val="left"/>
              <w:rPr>
                <w:rFonts w:cs="宋体" w:asciiTheme="minorEastAsia" w:hAnsiTheme="minorEastAsia" w:eastAsiaTheme="minorEastAsia"/>
                <w:b/>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841" w:hRule="atLeast"/>
        </w:trPr>
        <w:tc>
          <w:tcPr>
            <w:tcW w:w="1560" w:type="dxa"/>
            <w:tcMar>
              <w:top w:w="0" w:type="dxa"/>
              <w:left w:w="108" w:type="dxa"/>
              <w:bottom w:w="0" w:type="dxa"/>
              <w:right w:w="108" w:type="dxa"/>
            </w:tcMar>
            <w:vAlign w:val="center"/>
          </w:tcPr>
          <w:p>
            <w:pPr>
              <w:widowControl/>
              <w:jc w:val="center"/>
              <w:rPr>
                <w:rFonts w:cs="宋体" w:asciiTheme="minorEastAsia" w:hAnsiTheme="minorEastAsia" w:eastAsiaTheme="minorEastAsia"/>
                <w:b/>
                <w:kern w:val="0"/>
                <w:sz w:val="24"/>
              </w:rPr>
            </w:pPr>
            <w:r>
              <w:rPr>
                <w:rFonts w:hint="eastAsia" w:cs="宋体" w:asciiTheme="minorEastAsia" w:hAnsiTheme="minorEastAsia" w:eastAsiaTheme="minorEastAsia"/>
                <w:b/>
                <w:bCs/>
                <w:kern w:val="0"/>
                <w:sz w:val="24"/>
              </w:rPr>
              <w:t>特长</w:t>
            </w:r>
          </w:p>
        </w:tc>
        <w:tc>
          <w:tcPr>
            <w:tcW w:w="8222" w:type="dxa"/>
            <w:gridSpan w:val="6"/>
            <w:tcMar>
              <w:top w:w="0" w:type="dxa"/>
              <w:left w:w="108" w:type="dxa"/>
              <w:bottom w:w="0" w:type="dxa"/>
              <w:right w:w="108" w:type="dxa"/>
            </w:tcMar>
          </w:tcPr>
          <w:p>
            <w:pPr>
              <w:widowControl/>
              <w:jc w:val="left"/>
              <w:rPr>
                <w:rFonts w:cs="宋体" w:asciiTheme="minorEastAsia" w:hAnsiTheme="minorEastAsia" w:eastAsiaTheme="minorEastAsia"/>
                <w:b/>
                <w:kern w:val="0"/>
                <w:sz w:val="24"/>
              </w:rPr>
            </w:pPr>
          </w:p>
          <w:p>
            <w:pPr>
              <w:widowControl/>
              <w:jc w:val="left"/>
              <w:rPr>
                <w:rFonts w:cs="宋体" w:asciiTheme="minorEastAsia" w:hAnsiTheme="minorEastAsia" w:eastAsiaTheme="minorEastAsia"/>
                <w:b/>
                <w:kern w:val="0"/>
                <w:sz w:val="24"/>
              </w:rPr>
            </w:pPr>
          </w:p>
        </w:tc>
      </w:tr>
    </w:tbl>
    <w:p>
      <w:pPr>
        <w:autoSpaceDN w:val="0"/>
        <w:rPr>
          <w:rFonts w:ascii="仿宋_GB2312" w:hAnsi="宋体" w:eastAsia="仿宋_GB2312"/>
          <w:color w:val="000000"/>
          <w:sz w:val="32"/>
          <w:szCs w:val="32"/>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altName w:val="Palatino Linotype"/>
    <w:panose1 w:val="02040503050406030204"/>
    <w:charset w:val="00"/>
    <w:family w:val="roman"/>
    <w:pitch w:val="default"/>
    <w:sig w:usb0="00000000" w:usb1="00000000" w:usb2="00000000" w:usb3="00000000" w:csb0="0000019F" w:csb1="00000000"/>
  </w:font>
  <w:font w:name="Calibri">
    <w:altName w:val="Lucida Sans Unicode"/>
    <w:panose1 w:val="020F0502020204030204"/>
    <w:charset w:val="00"/>
    <w:family w:val="swiss"/>
    <w:pitch w:val="default"/>
    <w:sig w:usb0="00000000" w:usb1="00000000" w:usb2="00000001" w:usb3="00000000" w:csb0="0000019F" w:csb1="00000000"/>
  </w:font>
  <w:font w:name="Verdana">
    <w:panose1 w:val="020B0604030504040204"/>
    <w:charset w:val="00"/>
    <w:family w:val="swiss"/>
    <w:pitch w:val="default"/>
    <w:sig w:usb0="00000287"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Palatino Linotype">
    <w:panose1 w:val="02040502050505030304"/>
    <w:charset w:val="00"/>
    <w:family w:val="auto"/>
    <w:pitch w:val="default"/>
    <w:sig w:usb0="E0000387" w:usb1="40000013" w:usb2="00000000" w:usb3="00000000" w:csb0="2000019F" w:csb1="00000000"/>
  </w:font>
  <w:font w:name="Lucida Sans Unicode">
    <w:panose1 w:val="020B0602030504020204"/>
    <w:charset w:val="00"/>
    <w:family w:val="auto"/>
    <w:pitch w:val="default"/>
    <w:sig w:usb0="80001AFF" w:usb1="0000396B" w:usb2="00000000" w:usb3="00000000" w:csb0="0000003F" w:csb1="D7F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fldChar w:fldCharType="begin"/>
    </w:r>
    <w:r>
      <w:instrText xml:space="preserve">PAGE   \* MERGEFORMAT</w:instrText>
    </w:r>
    <w:r>
      <w:fldChar w:fldCharType="separate"/>
    </w:r>
    <w:r>
      <w:rPr>
        <w:lang w:val="zh-CN"/>
      </w:rPr>
      <w:t>4</w:t>
    </w:r>
    <w:r>
      <w:fldChar w:fldCharType="end"/>
    </w:r>
  </w:p>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76F1"/>
    <w:rsid w:val="00004C2B"/>
    <w:rsid w:val="00006DF1"/>
    <w:rsid w:val="00042534"/>
    <w:rsid w:val="0005057B"/>
    <w:rsid w:val="00060485"/>
    <w:rsid w:val="00067A62"/>
    <w:rsid w:val="00085926"/>
    <w:rsid w:val="000B1E60"/>
    <w:rsid w:val="000B4CFF"/>
    <w:rsid w:val="000C097C"/>
    <w:rsid w:val="000C4B15"/>
    <w:rsid w:val="000D3DE6"/>
    <w:rsid w:val="001521A2"/>
    <w:rsid w:val="0015367B"/>
    <w:rsid w:val="00156B34"/>
    <w:rsid w:val="00185F3D"/>
    <w:rsid w:val="001A29B1"/>
    <w:rsid w:val="001C17C8"/>
    <w:rsid w:val="001E0786"/>
    <w:rsid w:val="00213249"/>
    <w:rsid w:val="002334CC"/>
    <w:rsid w:val="002640AA"/>
    <w:rsid w:val="00271531"/>
    <w:rsid w:val="00276268"/>
    <w:rsid w:val="00277A64"/>
    <w:rsid w:val="00287AFD"/>
    <w:rsid w:val="0029223F"/>
    <w:rsid w:val="002B23EF"/>
    <w:rsid w:val="002D19A4"/>
    <w:rsid w:val="003003D5"/>
    <w:rsid w:val="0030383D"/>
    <w:rsid w:val="00327978"/>
    <w:rsid w:val="00345BAD"/>
    <w:rsid w:val="00350270"/>
    <w:rsid w:val="0037088F"/>
    <w:rsid w:val="0038770A"/>
    <w:rsid w:val="003A3AB5"/>
    <w:rsid w:val="003B5441"/>
    <w:rsid w:val="003B6C44"/>
    <w:rsid w:val="003C573F"/>
    <w:rsid w:val="003D023A"/>
    <w:rsid w:val="003E41CE"/>
    <w:rsid w:val="003F519D"/>
    <w:rsid w:val="00423E1C"/>
    <w:rsid w:val="0048326E"/>
    <w:rsid w:val="004C07B6"/>
    <w:rsid w:val="004C0C6B"/>
    <w:rsid w:val="00511847"/>
    <w:rsid w:val="00514B1B"/>
    <w:rsid w:val="00525ED5"/>
    <w:rsid w:val="00534191"/>
    <w:rsid w:val="00560D28"/>
    <w:rsid w:val="00583EB6"/>
    <w:rsid w:val="00587A97"/>
    <w:rsid w:val="005971CC"/>
    <w:rsid w:val="005B1BCE"/>
    <w:rsid w:val="005B6778"/>
    <w:rsid w:val="005C4809"/>
    <w:rsid w:val="005F18ED"/>
    <w:rsid w:val="005F360C"/>
    <w:rsid w:val="005F4A06"/>
    <w:rsid w:val="006132C1"/>
    <w:rsid w:val="006226C1"/>
    <w:rsid w:val="00651629"/>
    <w:rsid w:val="00683E49"/>
    <w:rsid w:val="00685BD2"/>
    <w:rsid w:val="006A45E7"/>
    <w:rsid w:val="006A5B55"/>
    <w:rsid w:val="006C1D0D"/>
    <w:rsid w:val="006E2E46"/>
    <w:rsid w:val="007276F1"/>
    <w:rsid w:val="007401A2"/>
    <w:rsid w:val="00742EB5"/>
    <w:rsid w:val="00744FEE"/>
    <w:rsid w:val="007456E5"/>
    <w:rsid w:val="0075336E"/>
    <w:rsid w:val="00755656"/>
    <w:rsid w:val="00787ACF"/>
    <w:rsid w:val="007B190E"/>
    <w:rsid w:val="007C20C6"/>
    <w:rsid w:val="007D57D2"/>
    <w:rsid w:val="007E6D6C"/>
    <w:rsid w:val="008201C3"/>
    <w:rsid w:val="00824082"/>
    <w:rsid w:val="00865D8B"/>
    <w:rsid w:val="0087226A"/>
    <w:rsid w:val="008843C7"/>
    <w:rsid w:val="008B1065"/>
    <w:rsid w:val="008B4729"/>
    <w:rsid w:val="008C0466"/>
    <w:rsid w:val="008D5EA6"/>
    <w:rsid w:val="0093679A"/>
    <w:rsid w:val="00936A47"/>
    <w:rsid w:val="00940A5B"/>
    <w:rsid w:val="009514F7"/>
    <w:rsid w:val="00955F86"/>
    <w:rsid w:val="00963139"/>
    <w:rsid w:val="0096733E"/>
    <w:rsid w:val="00976795"/>
    <w:rsid w:val="00994D7D"/>
    <w:rsid w:val="009C11A9"/>
    <w:rsid w:val="009C4519"/>
    <w:rsid w:val="009D6CBC"/>
    <w:rsid w:val="009F258C"/>
    <w:rsid w:val="00A00D17"/>
    <w:rsid w:val="00A2150A"/>
    <w:rsid w:val="00A421E5"/>
    <w:rsid w:val="00AA2BF2"/>
    <w:rsid w:val="00AA4AF1"/>
    <w:rsid w:val="00AC136B"/>
    <w:rsid w:val="00AE0034"/>
    <w:rsid w:val="00AE585D"/>
    <w:rsid w:val="00AE761A"/>
    <w:rsid w:val="00AF4688"/>
    <w:rsid w:val="00B02313"/>
    <w:rsid w:val="00B10B55"/>
    <w:rsid w:val="00B15053"/>
    <w:rsid w:val="00B17687"/>
    <w:rsid w:val="00B45CB4"/>
    <w:rsid w:val="00B629DD"/>
    <w:rsid w:val="00B7416F"/>
    <w:rsid w:val="00BB7034"/>
    <w:rsid w:val="00BF1CC4"/>
    <w:rsid w:val="00C21476"/>
    <w:rsid w:val="00C37A02"/>
    <w:rsid w:val="00C82CD5"/>
    <w:rsid w:val="00CA2E8F"/>
    <w:rsid w:val="00CA7EF5"/>
    <w:rsid w:val="00CE22F4"/>
    <w:rsid w:val="00CE76FB"/>
    <w:rsid w:val="00D21E2D"/>
    <w:rsid w:val="00D348BC"/>
    <w:rsid w:val="00D44F5C"/>
    <w:rsid w:val="00D53C0F"/>
    <w:rsid w:val="00D53C40"/>
    <w:rsid w:val="00D647FC"/>
    <w:rsid w:val="00D82036"/>
    <w:rsid w:val="00D9239C"/>
    <w:rsid w:val="00D95E8E"/>
    <w:rsid w:val="00DC520D"/>
    <w:rsid w:val="00DE71AF"/>
    <w:rsid w:val="00DE7E87"/>
    <w:rsid w:val="00E44FAA"/>
    <w:rsid w:val="00E61D4B"/>
    <w:rsid w:val="00E75C31"/>
    <w:rsid w:val="00EA4685"/>
    <w:rsid w:val="00EB1A4B"/>
    <w:rsid w:val="00EC119A"/>
    <w:rsid w:val="00EE088A"/>
    <w:rsid w:val="00EE11CB"/>
    <w:rsid w:val="00F02872"/>
    <w:rsid w:val="00F660DA"/>
    <w:rsid w:val="00F731D0"/>
    <w:rsid w:val="00F81190"/>
    <w:rsid w:val="00FB1103"/>
    <w:rsid w:val="00FF7205"/>
    <w:rsid w:val="03C00298"/>
    <w:rsid w:val="0D9552B3"/>
    <w:rsid w:val="0DA47D44"/>
    <w:rsid w:val="10CD441E"/>
    <w:rsid w:val="136B4BBE"/>
    <w:rsid w:val="1CDD117F"/>
    <w:rsid w:val="20B2573B"/>
    <w:rsid w:val="232956BD"/>
    <w:rsid w:val="4F433578"/>
    <w:rsid w:val="515D68E6"/>
    <w:rsid w:val="570E1063"/>
    <w:rsid w:val="63190780"/>
    <w:rsid w:val="632F46C6"/>
    <w:rsid w:val="633C31BD"/>
    <w:rsid w:val="6ECC7740"/>
    <w:rsid w:val="74111224"/>
    <w:rsid w:val="7F184DC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uiPriority="99" w:semiHidden="0" w:name="header"/>
    <w:lsdException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99"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99" w:semiHidden="0" w:name="Balloon Text"/>
    <w:lsdException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uiPriority w:val="1"/>
  </w:style>
  <w:style w:type="table" w:default="1" w:styleId="7">
    <w:name w:val="Normal Table"/>
    <w:unhideWhenUsed/>
    <w:uiPriority w:val="99"/>
    <w:tblPr>
      <w:tblLayout w:type="fixed"/>
      <w:tblCellMar>
        <w:top w:w="0" w:type="dxa"/>
        <w:left w:w="108" w:type="dxa"/>
        <w:bottom w:w="0" w:type="dxa"/>
        <w:right w:w="108" w:type="dxa"/>
      </w:tblCellMar>
    </w:tblPr>
  </w:style>
  <w:style w:type="paragraph" w:styleId="2">
    <w:name w:val="Balloon Text"/>
    <w:basedOn w:val="1"/>
    <w:link w:val="11"/>
    <w:unhideWhenUsed/>
    <w:uiPriority w:val="99"/>
    <w:rPr>
      <w:sz w:val="18"/>
      <w:szCs w:val="18"/>
    </w:rPr>
  </w:style>
  <w:style w:type="paragraph" w:styleId="3">
    <w:name w:val="footer"/>
    <w:basedOn w:val="1"/>
    <w:link w:val="10"/>
    <w:unhideWhenUsed/>
    <w:uiPriority w:val="99"/>
    <w:pPr>
      <w:tabs>
        <w:tab w:val="center" w:pos="4153"/>
        <w:tab w:val="right" w:pos="8306"/>
      </w:tabs>
      <w:snapToGrid w:val="0"/>
      <w:jc w:val="left"/>
    </w:pPr>
    <w:rPr>
      <w:sz w:val="18"/>
      <w:szCs w:val="18"/>
    </w:rPr>
  </w:style>
  <w:style w:type="paragraph" w:styleId="4">
    <w:name w:val="header"/>
    <w:basedOn w:val="1"/>
    <w:link w:val="9"/>
    <w:unhideWhenUsed/>
    <w:uiPriority w:val="99"/>
    <w:pPr>
      <w:pBdr>
        <w:bottom w:val="single" w:color="auto" w:sz="6" w:space="1"/>
      </w:pBdr>
      <w:tabs>
        <w:tab w:val="center" w:pos="4153"/>
        <w:tab w:val="right" w:pos="8306"/>
      </w:tabs>
      <w:snapToGrid w:val="0"/>
      <w:jc w:val="center"/>
    </w:pPr>
    <w:rPr>
      <w:sz w:val="18"/>
      <w:szCs w:val="18"/>
    </w:rPr>
  </w:style>
  <w:style w:type="character" w:styleId="6">
    <w:name w:val="Hyperlink"/>
    <w:basedOn w:val="5"/>
    <w:unhideWhenUsed/>
    <w:uiPriority w:val="99"/>
    <w:rPr>
      <w:color w:val="0000FF"/>
      <w:u w:val="single"/>
    </w:rPr>
  </w:style>
  <w:style w:type="paragraph" w:customStyle="1" w:styleId="8">
    <w:name w:val="Char"/>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9">
    <w:name w:val="页眉 Char"/>
    <w:basedOn w:val="5"/>
    <w:link w:val="4"/>
    <w:qFormat/>
    <w:uiPriority w:val="99"/>
    <w:rPr>
      <w:rFonts w:ascii="Times New Roman" w:hAnsi="Times New Roman" w:eastAsia="宋体" w:cs="Times New Roman"/>
      <w:sz w:val="18"/>
      <w:szCs w:val="18"/>
    </w:rPr>
  </w:style>
  <w:style w:type="character" w:customStyle="1" w:styleId="10">
    <w:name w:val="页脚 Char"/>
    <w:basedOn w:val="5"/>
    <w:link w:val="3"/>
    <w:qFormat/>
    <w:uiPriority w:val="99"/>
    <w:rPr>
      <w:rFonts w:ascii="Times New Roman" w:hAnsi="Times New Roman" w:eastAsia="宋体" w:cs="Times New Roman"/>
      <w:sz w:val="18"/>
      <w:szCs w:val="18"/>
    </w:rPr>
  </w:style>
  <w:style w:type="character" w:customStyle="1" w:styleId="11">
    <w:name w:val="批注框文本 Char"/>
    <w:basedOn w:val="5"/>
    <w:link w:val="2"/>
    <w:semiHidden/>
    <w:qFormat/>
    <w:uiPriority w:val="99"/>
    <w:rPr>
      <w:rFonts w:ascii="Times New Roman" w:hAnsi="Times New Roman" w:eastAsia="宋体" w:cs="Times New Roman"/>
      <w:sz w:val="18"/>
      <w:szCs w:val="18"/>
    </w:rPr>
  </w:style>
  <w:style w:type="paragraph" w:customStyle="1" w:styleId="12">
    <w:name w:val="Char1"/>
    <w:basedOn w:val="1"/>
    <w:uiPriority w:val="0"/>
    <w:pPr>
      <w:widowControl/>
      <w:spacing w:after="160" w:line="240" w:lineRule="exact"/>
      <w:jc w:val="left"/>
    </w:pPr>
    <w:rPr>
      <w:rFonts w:ascii="Verdana" w:hAnsi="Verdana" w:eastAsia="仿宋_GB2312"/>
      <w:kern w:val="0"/>
      <w:sz w:val="24"/>
      <w:szCs w:val="20"/>
      <w:lang w:eastAsia="en-US"/>
    </w:rPr>
  </w:style>
  <w:style w:type="paragraph" w:customStyle="1" w:styleId="13">
    <w:name w:val="Char2"/>
    <w:basedOn w:val="1"/>
    <w:uiPriority w:val="0"/>
    <w:pPr>
      <w:widowControl/>
      <w:spacing w:after="160" w:line="240" w:lineRule="exact"/>
      <w:jc w:val="left"/>
    </w:pPr>
    <w:rPr>
      <w:rFonts w:ascii="Verdana" w:hAnsi="Verdana" w:eastAsia="仿宋_GB2312"/>
      <w:kern w:val="0"/>
      <w:sz w:val="24"/>
      <w:szCs w:val="20"/>
      <w:lang w:eastAsia="en-US"/>
    </w:rPr>
  </w:style>
  <w:style w:type="paragraph" w:customStyle="1" w:styleId="14">
    <w:name w:val="Char3"/>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5">
    <w:name w:val="Char4"/>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6">
    <w:name w:val="Char5"/>
    <w:basedOn w:val="1"/>
    <w:uiPriority w:val="0"/>
    <w:pPr>
      <w:widowControl/>
      <w:spacing w:after="160" w:line="240" w:lineRule="exact"/>
      <w:jc w:val="left"/>
    </w:pPr>
    <w:rPr>
      <w:rFonts w:ascii="Verdana" w:hAnsi="Verdana" w:eastAsia="仿宋_GB2312"/>
      <w:kern w:val="0"/>
      <w:sz w:val="24"/>
      <w:szCs w:val="20"/>
      <w:lang w:eastAsia="en-US"/>
    </w:rPr>
  </w:style>
  <w:style w:type="paragraph" w:customStyle="1" w:styleId="17">
    <w:name w:val="Char6"/>
    <w:basedOn w:val="1"/>
    <w:uiPriority w:val="0"/>
    <w:pPr>
      <w:widowControl/>
      <w:spacing w:after="160" w:line="240" w:lineRule="exact"/>
      <w:jc w:val="left"/>
    </w:pPr>
    <w:rPr>
      <w:rFonts w:ascii="Verdana" w:hAnsi="Verdana" w:eastAsia="仿宋_GB2312"/>
      <w:kern w:val="0"/>
      <w:sz w:val="24"/>
      <w:szCs w:val="20"/>
      <w:lang w:eastAsia="en-U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emf"/><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8</Pages>
  <Words>512</Words>
  <Characters>2922</Characters>
  <Lines>24</Lines>
  <Paragraphs>6</Paragraphs>
  <TotalTime>0</TotalTime>
  <ScaleCrop>false</ScaleCrop>
  <LinksUpToDate>false</LinksUpToDate>
  <CharactersWithSpaces>3428</CharactersWithSpaces>
  <Application>WPS Office_10.1.0.6393_F1E327BC-269C-435d-A152-05C5408002CA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2016-12-12T09:27:00Z</dcterms:created>
  <dc:creator>微软用户</dc:creator>
  <cp:lastModifiedBy>Administrator</cp:lastModifiedBy>
  <cp:lastPrinted>2018-01-05T02:30:00Z</cp:lastPrinted>
  <dcterms:modified xsi:type="dcterms:W3CDTF">2018-01-05T17:51:24Z</dcterms:modified>
  <dc:title>新疆公安警卫部队招收2016年度普通高等学校毕业生简章</dc:title>
  <cp:revision>59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2052-10.1.0.6393</vt:lpwstr>
  </property>
</Properties>
</file>