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21C" w:rsidRPr="0069021C" w:rsidRDefault="0069021C" w:rsidP="0069021C">
      <w:pPr>
        <w:pStyle w:val="1"/>
        <w:shd w:val="clear" w:color="auto" w:fill="FFFFFF"/>
        <w:spacing w:before="0" w:after="0" w:line="432" w:lineRule="atLeast"/>
        <w:jc w:val="center"/>
        <w:rPr>
          <w:rFonts w:ascii="微软雅黑" w:eastAsia="微软雅黑" w:hAnsi="微软雅黑" w:hint="eastAsia"/>
          <w:color w:val="333333"/>
          <w:sz w:val="29"/>
          <w:szCs w:val="29"/>
        </w:rPr>
      </w:pPr>
      <w:r>
        <w:rPr>
          <w:rFonts w:ascii="微软雅黑" w:eastAsia="微软雅黑" w:hAnsi="微软雅黑" w:hint="eastAsia"/>
          <w:color w:val="333333"/>
          <w:sz w:val="29"/>
          <w:szCs w:val="29"/>
        </w:rPr>
        <w:t>《中华人民共和国职业教育法》（全文）</w:t>
      </w:r>
    </w:p>
    <w:p w:rsidR="0069021C" w:rsidRPr="0069021C" w:rsidRDefault="0069021C" w:rsidP="0069021C">
      <w:pPr>
        <w:widowControl/>
        <w:spacing w:line="432" w:lineRule="atLeast"/>
        <w:ind w:right="120"/>
        <w:jc w:val="left"/>
        <w:outlineLvl w:val="1"/>
        <w:rPr>
          <w:rFonts w:ascii="Arial" w:eastAsia="宋体" w:hAnsi="Arial" w:cs="Arial"/>
          <w:color w:val="7486C6"/>
          <w:kern w:val="0"/>
          <w:sz w:val="26"/>
          <w:szCs w:val="26"/>
        </w:rPr>
      </w:pPr>
      <w:r w:rsidRPr="0069021C">
        <w:rPr>
          <w:rFonts w:ascii="Arial" w:eastAsia="宋体" w:hAnsi="Arial" w:cs="Arial"/>
          <w:color w:val="FFFFFF"/>
          <w:kern w:val="0"/>
          <w:sz w:val="19"/>
          <w:szCs w:val="19"/>
          <w:shd w:val="clear" w:color="auto" w:fill="828EC9"/>
        </w:rPr>
        <w:t>1</w:t>
      </w:r>
      <w:bookmarkStart w:id="0" w:name="1"/>
      <w:bookmarkStart w:id="1" w:name="para1"/>
      <w:bookmarkEnd w:id="0"/>
      <w:r w:rsidRPr="0069021C">
        <w:rPr>
          <w:rFonts w:ascii="Arial" w:eastAsia="宋体" w:hAnsi="Arial" w:cs="Arial"/>
          <w:color w:val="7486C6"/>
          <w:kern w:val="0"/>
          <w:sz w:val="26"/>
          <w:szCs w:val="26"/>
        </w:rPr>
        <w:t>第一章　总则</w:t>
      </w:r>
      <w:bookmarkEnd w:id="1"/>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第一条　为了实施</w:t>
      </w:r>
      <w:hyperlink r:id="rId4" w:tgtFrame="_blank" w:history="1">
        <w:r w:rsidRPr="0069021C">
          <w:rPr>
            <w:rFonts w:ascii="Arial" w:eastAsia="宋体" w:hAnsi="Arial" w:cs="Arial"/>
            <w:color w:val="3366CC"/>
            <w:kern w:val="0"/>
            <w:sz w:val="17"/>
          </w:rPr>
          <w:t>科教兴国战略</w:t>
        </w:r>
      </w:hyperlink>
      <w:r w:rsidRPr="0069021C">
        <w:rPr>
          <w:rFonts w:ascii="Arial" w:eastAsia="宋体" w:hAnsi="Arial" w:cs="Arial"/>
          <w:kern w:val="0"/>
          <w:sz w:val="17"/>
          <w:szCs w:val="17"/>
        </w:rPr>
        <w:t>，发展职业教育，提高劳动者素质，促进社会主义现代化建设，根据</w:t>
      </w:r>
      <w:hyperlink r:id="rId5" w:tgtFrame="_blank" w:history="1">
        <w:r w:rsidRPr="0069021C">
          <w:rPr>
            <w:rFonts w:ascii="Arial" w:eastAsia="宋体" w:hAnsi="Arial" w:cs="Arial"/>
            <w:color w:val="3366CC"/>
            <w:kern w:val="0"/>
            <w:sz w:val="17"/>
          </w:rPr>
          <w:t>教育法</w:t>
        </w:r>
      </w:hyperlink>
      <w:r w:rsidRPr="0069021C">
        <w:rPr>
          <w:rFonts w:ascii="Arial" w:eastAsia="宋体" w:hAnsi="Arial" w:cs="Arial"/>
          <w:kern w:val="0"/>
          <w:sz w:val="17"/>
          <w:szCs w:val="17"/>
        </w:rPr>
        <w:t>和劳动法，制定本法。</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第二条　本法适用于各级各类职业学校教育和各种形式的</w:t>
      </w:r>
      <w:hyperlink r:id="rId6" w:tgtFrame="_blank" w:history="1">
        <w:r w:rsidRPr="0069021C">
          <w:rPr>
            <w:rFonts w:ascii="Arial" w:eastAsia="宋体" w:hAnsi="Arial" w:cs="Arial"/>
            <w:color w:val="3366CC"/>
            <w:kern w:val="0"/>
            <w:sz w:val="17"/>
          </w:rPr>
          <w:t>职业培训</w:t>
        </w:r>
      </w:hyperlink>
      <w:r w:rsidRPr="0069021C">
        <w:rPr>
          <w:rFonts w:ascii="Arial" w:eastAsia="宋体" w:hAnsi="Arial" w:cs="Arial"/>
          <w:kern w:val="0"/>
          <w:sz w:val="17"/>
          <w:szCs w:val="17"/>
        </w:rPr>
        <w:t>。国家机关实施的对</w:t>
      </w:r>
      <w:hyperlink r:id="rId7" w:tgtFrame="_blank" w:history="1">
        <w:r w:rsidRPr="0069021C">
          <w:rPr>
            <w:rFonts w:ascii="Arial" w:eastAsia="宋体" w:hAnsi="Arial" w:cs="Arial"/>
            <w:color w:val="3366CC"/>
            <w:kern w:val="0"/>
            <w:sz w:val="17"/>
          </w:rPr>
          <w:t>国家机关工作人员</w:t>
        </w:r>
      </w:hyperlink>
      <w:r w:rsidRPr="0069021C">
        <w:rPr>
          <w:rFonts w:ascii="Arial" w:eastAsia="宋体" w:hAnsi="Arial" w:cs="Arial"/>
          <w:kern w:val="0"/>
          <w:sz w:val="17"/>
          <w:szCs w:val="17"/>
        </w:rPr>
        <w:t>的专门培训由法律、</w:t>
      </w:r>
      <w:hyperlink r:id="rId8" w:tgtFrame="_blank" w:history="1">
        <w:r w:rsidRPr="0069021C">
          <w:rPr>
            <w:rFonts w:ascii="Arial" w:eastAsia="宋体" w:hAnsi="Arial" w:cs="Arial"/>
            <w:color w:val="3366CC"/>
            <w:kern w:val="0"/>
            <w:sz w:val="17"/>
          </w:rPr>
          <w:t>行政法规</w:t>
        </w:r>
      </w:hyperlink>
      <w:r w:rsidRPr="0069021C">
        <w:rPr>
          <w:rFonts w:ascii="Arial" w:eastAsia="宋体" w:hAnsi="Arial" w:cs="Arial"/>
          <w:kern w:val="0"/>
          <w:sz w:val="17"/>
          <w:szCs w:val="17"/>
        </w:rPr>
        <w:t>另行规定。</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第三条　职业教育是国家教育事业的重要组成部分，是促进经济、</w:t>
      </w:r>
      <w:hyperlink r:id="rId9" w:tgtFrame="_blank" w:history="1">
        <w:r w:rsidRPr="0069021C">
          <w:rPr>
            <w:rFonts w:ascii="Arial" w:eastAsia="宋体" w:hAnsi="Arial" w:cs="Arial"/>
            <w:color w:val="3366CC"/>
            <w:kern w:val="0"/>
            <w:sz w:val="17"/>
          </w:rPr>
          <w:t>社会发展</w:t>
        </w:r>
      </w:hyperlink>
      <w:r w:rsidRPr="0069021C">
        <w:rPr>
          <w:rFonts w:ascii="Arial" w:eastAsia="宋体" w:hAnsi="Arial" w:cs="Arial"/>
          <w:kern w:val="0"/>
          <w:sz w:val="17"/>
          <w:szCs w:val="17"/>
        </w:rPr>
        <w:t>和</w:t>
      </w:r>
      <w:hyperlink r:id="rId10" w:tgtFrame="_blank" w:history="1">
        <w:r w:rsidRPr="0069021C">
          <w:rPr>
            <w:rFonts w:ascii="Arial" w:eastAsia="宋体" w:hAnsi="Arial" w:cs="Arial"/>
            <w:color w:val="3366CC"/>
            <w:kern w:val="0"/>
            <w:sz w:val="17"/>
          </w:rPr>
          <w:t>劳动就业</w:t>
        </w:r>
      </w:hyperlink>
      <w:r w:rsidRPr="0069021C">
        <w:rPr>
          <w:rFonts w:ascii="Arial" w:eastAsia="宋体" w:hAnsi="Arial" w:cs="Arial"/>
          <w:kern w:val="0"/>
          <w:sz w:val="17"/>
          <w:szCs w:val="17"/>
        </w:rPr>
        <w:t>的重要途径。</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国家发展职业教育，推进职业教育改革，提高职业教育质量，建立、健全适应</w:t>
      </w:r>
      <w:hyperlink r:id="rId11" w:tgtFrame="_blank" w:history="1">
        <w:r w:rsidRPr="0069021C">
          <w:rPr>
            <w:rFonts w:ascii="Arial" w:eastAsia="宋体" w:hAnsi="Arial" w:cs="Arial"/>
            <w:color w:val="3366CC"/>
            <w:kern w:val="0"/>
            <w:sz w:val="17"/>
          </w:rPr>
          <w:t>社会主义市场经济</w:t>
        </w:r>
      </w:hyperlink>
      <w:r w:rsidRPr="0069021C">
        <w:rPr>
          <w:rFonts w:ascii="Arial" w:eastAsia="宋体" w:hAnsi="Arial" w:cs="Arial"/>
          <w:kern w:val="0"/>
          <w:sz w:val="17"/>
          <w:szCs w:val="17"/>
        </w:rPr>
        <w:t>和</w:t>
      </w:r>
      <w:hyperlink r:id="rId12" w:tgtFrame="_blank" w:history="1">
        <w:r w:rsidRPr="0069021C">
          <w:rPr>
            <w:rFonts w:ascii="Arial" w:eastAsia="宋体" w:hAnsi="Arial" w:cs="Arial"/>
            <w:color w:val="3366CC"/>
            <w:kern w:val="0"/>
            <w:sz w:val="17"/>
          </w:rPr>
          <w:t>社会进步</w:t>
        </w:r>
      </w:hyperlink>
      <w:r w:rsidRPr="0069021C">
        <w:rPr>
          <w:rFonts w:ascii="Arial" w:eastAsia="宋体" w:hAnsi="Arial" w:cs="Arial"/>
          <w:kern w:val="0"/>
          <w:sz w:val="17"/>
          <w:szCs w:val="17"/>
        </w:rPr>
        <w:t>需要的职业教育制度。</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第四条　实施职业教育必须贯彻国家</w:t>
      </w:r>
      <w:hyperlink r:id="rId13" w:tgtFrame="_blank" w:history="1">
        <w:r w:rsidRPr="0069021C">
          <w:rPr>
            <w:rFonts w:ascii="Arial" w:eastAsia="宋体" w:hAnsi="Arial" w:cs="Arial"/>
            <w:color w:val="3366CC"/>
            <w:kern w:val="0"/>
            <w:sz w:val="17"/>
          </w:rPr>
          <w:t>教育方针</w:t>
        </w:r>
      </w:hyperlink>
      <w:r w:rsidRPr="0069021C">
        <w:rPr>
          <w:rFonts w:ascii="Arial" w:eastAsia="宋体" w:hAnsi="Arial" w:cs="Arial"/>
          <w:kern w:val="0"/>
          <w:sz w:val="17"/>
          <w:szCs w:val="17"/>
        </w:rPr>
        <w:t>，对受教育者进行</w:t>
      </w:r>
      <w:hyperlink r:id="rId14" w:tgtFrame="_blank" w:history="1">
        <w:r w:rsidRPr="0069021C">
          <w:rPr>
            <w:rFonts w:ascii="Arial" w:eastAsia="宋体" w:hAnsi="Arial" w:cs="Arial"/>
            <w:color w:val="3366CC"/>
            <w:kern w:val="0"/>
            <w:sz w:val="17"/>
          </w:rPr>
          <w:t>思想政治教育</w:t>
        </w:r>
      </w:hyperlink>
      <w:r w:rsidRPr="0069021C">
        <w:rPr>
          <w:rFonts w:ascii="Arial" w:eastAsia="宋体" w:hAnsi="Arial" w:cs="Arial"/>
          <w:kern w:val="0"/>
          <w:sz w:val="17"/>
          <w:szCs w:val="17"/>
        </w:rPr>
        <w:t>和职业道德教育，传授职业知识，培养</w:t>
      </w:r>
      <w:hyperlink r:id="rId15" w:tgtFrame="_blank" w:history="1">
        <w:r w:rsidRPr="0069021C">
          <w:rPr>
            <w:rFonts w:ascii="Arial" w:eastAsia="宋体" w:hAnsi="Arial" w:cs="Arial"/>
            <w:color w:val="3366CC"/>
            <w:kern w:val="0"/>
            <w:sz w:val="17"/>
          </w:rPr>
          <w:t>职业技能</w:t>
        </w:r>
      </w:hyperlink>
      <w:r w:rsidRPr="0069021C">
        <w:rPr>
          <w:rFonts w:ascii="Arial" w:eastAsia="宋体" w:hAnsi="Arial" w:cs="Arial"/>
          <w:kern w:val="0"/>
          <w:sz w:val="17"/>
          <w:szCs w:val="17"/>
        </w:rPr>
        <w:t>，进行职业指导，全面提高受教育者的素质。</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第五条　公民有依法接受</w:t>
      </w:r>
      <w:hyperlink r:id="rId16" w:tgtFrame="_blank" w:history="1">
        <w:r w:rsidRPr="0069021C">
          <w:rPr>
            <w:rFonts w:ascii="Arial" w:eastAsia="宋体" w:hAnsi="Arial" w:cs="Arial"/>
            <w:color w:val="3366CC"/>
            <w:kern w:val="0"/>
            <w:sz w:val="17"/>
          </w:rPr>
          <w:t>职业教育</w:t>
        </w:r>
      </w:hyperlink>
      <w:r w:rsidRPr="0069021C">
        <w:rPr>
          <w:rFonts w:ascii="Arial" w:eastAsia="宋体" w:hAnsi="Arial" w:cs="Arial"/>
          <w:kern w:val="0"/>
          <w:sz w:val="17"/>
          <w:szCs w:val="17"/>
        </w:rPr>
        <w:t>的权利。</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第六条　各级人民政府应当将发展职业教育纳入国民经济和社会发展规划。</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行业组织和企业、事业组织应当依法履行实施职业教育的义务。</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第七条　国家采取措施，发展农村职业教育，扶持少数民族地区、边远贫困地区职业教育的发展。</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国家采取措施，帮助妇女接受职业教育，组织</w:t>
      </w:r>
      <w:hyperlink r:id="rId17" w:tgtFrame="_blank" w:history="1">
        <w:r w:rsidRPr="0069021C">
          <w:rPr>
            <w:rFonts w:ascii="Arial" w:eastAsia="宋体" w:hAnsi="Arial" w:cs="Arial"/>
            <w:color w:val="3366CC"/>
            <w:kern w:val="0"/>
            <w:sz w:val="17"/>
          </w:rPr>
          <w:t>失业人员</w:t>
        </w:r>
      </w:hyperlink>
      <w:r w:rsidRPr="0069021C">
        <w:rPr>
          <w:rFonts w:ascii="Arial" w:eastAsia="宋体" w:hAnsi="Arial" w:cs="Arial"/>
          <w:kern w:val="0"/>
          <w:sz w:val="17"/>
          <w:szCs w:val="17"/>
        </w:rPr>
        <w:t>接受各种形式的职业教育，扶持残疾人职业教育的发展。</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第八条　实施职业教育应当根据实际需要，同国家制定的</w:t>
      </w:r>
      <w:hyperlink r:id="rId18" w:tgtFrame="_blank" w:history="1">
        <w:r w:rsidRPr="0069021C">
          <w:rPr>
            <w:rFonts w:ascii="Arial" w:eastAsia="宋体" w:hAnsi="Arial" w:cs="Arial"/>
            <w:color w:val="3366CC"/>
            <w:kern w:val="0"/>
            <w:sz w:val="17"/>
          </w:rPr>
          <w:t>职业分类</w:t>
        </w:r>
      </w:hyperlink>
      <w:r w:rsidRPr="0069021C">
        <w:rPr>
          <w:rFonts w:ascii="Arial" w:eastAsia="宋体" w:hAnsi="Arial" w:cs="Arial"/>
          <w:kern w:val="0"/>
          <w:sz w:val="17"/>
          <w:szCs w:val="17"/>
        </w:rPr>
        <w:t>和职业等级标准相适应，实行</w:t>
      </w:r>
      <w:hyperlink r:id="rId19" w:tgtFrame="_blank" w:history="1">
        <w:r w:rsidRPr="0069021C">
          <w:rPr>
            <w:rFonts w:ascii="Arial" w:eastAsia="宋体" w:hAnsi="Arial" w:cs="Arial"/>
            <w:color w:val="3366CC"/>
            <w:kern w:val="0"/>
            <w:sz w:val="17"/>
          </w:rPr>
          <w:t>学历证书</w:t>
        </w:r>
      </w:hyperlink>
      <w:r w:rsidRPr="0069021C">
        <w:rPr>
          <w:rFonts w:ascii="Arial" w:eastAsia="宋体" w:hAnsi="Arial" w:cs="Arial"/>
          <w:kern w:val="0"/>
          <w:sz w:val="17"/>
          <w:szCs w:val="17"/>
        </w:rPr>
        <w:t>、培训证书和</w:t>
      </w:r>
      <w:hyperlink r:id="rId20" w:tgtFrame="_blank" w:history="1">
        <w:r w:rsidRPr="0069021C">
          <w:rPr>
            <w:rFonts w:ascii="Arial" w:eastAsia="宋体" w:hAnsi="Arial" w:cs="Arial"/>
            <w:color w:val="3366CC"/>
            <w:kern w:val="0"/>
            <w:sz w:val="17"/>
          </w:rPr>
          <w:t>职业资格证书制度</w:t>
        </w:r>
      </w:hyperlink>
      <w:r w:rsidRPr="0069021C">
        <w:rPr>
          <w:rFonts w:ascii="Arial" w:eastAsia="宋体" w:hAnsi="Arial" w:cs="Arial"/>
          <w:kern w:val="0"/>
          <w:sz w:val="17"/>
          <w:szCs w:val="17"/>
        </w:rPr>
        <w:t>。</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国家实行劳动者在就业前或者上岗前接受必要的职业教育的制度。</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第九条　国家鼓励并组织职业教育的科学研究。</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第十条　国家对在职业教育中作出显著成绩的单位和个人给予奖励。</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第十一条　国务院教育行政部门负责职业教育工作的统筹规划、综合协调、宏观管理。</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国务院教育行政部门、劳动行政部门和其他有关部门在国务院规定的职责范围内，分别负责有关的职业教育工作。</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县级以上地方各级人民政府应当加强对本行政区域内职业教育工作的领导、统筹协调和督导评估。</w:t>
      </w:r>
    </w:p>
    <w:p w:rsidR="0069021C" w:rsidRPr="0069021C" w:rsidRDefault="0069021C" w:rsidP="0069021C">
      <w:pPr>
        <w:widowControl/>
        <w:spacing w:line="432" w:lineRule="atLeast"/>
        <w:ind w:right="120"/>
        <w:jc w:val="left"/>
        <w:outlineLvl w:val="1"/>
        <w:rPr>
          <w:rFonts w:ascii="Arial" w:eastAsia="宋体" w:hAnsi="Arial" w:cs="Arial"/>
          <w:color w:val="7486C6"/>
          <w:kern w:val="0"/>
          <w:sz w:val="26"/>
          <w:szCs w:val="26"/>
        </w:rPr>
      </w:pPr>
      <w:r w:rsidRPr="0069021C">
        <w:rPr>
          <w:rFonts w:ascii="Arial" w:eastAsia="宋体" w:hAnsi="Arial" w:cs="Arial"/>
          <w:color w:val="FFFFFF"/>
          <w:kern w:val="0"/>
          <w:sz w:val="19"/>
          <w:szCs w:val="19"/>
          <w:shd w:val="clear" w:color="auto" w:fill="828EC9"/>
        </w:rPr>
        <w:t>2</w:t>
      </w:r>
      <w:bookmarkStart w:id="2" w:name="2"/>
      <w:bookmarkStart w:id="3" w:name="para2"/>
      <w:bookmarkEnd w:id="2"/>
      <w:r w:rsidRPr="0069021C">
        <w:rPr>
          <w:rFonts w:ascii="Arial" w:eastAsia="宋体" w:hAnsi="Arial" w:cs="Arial"/>
          <w:color w:val="7486C6"/>
          <w:kern w:val="0"/>
          <w:sz w:val="26"/>
          <w:szCs w:val="26"/>
        </w:rPr>
        <w:t>第二章　职业教育体系</w:t>
      </w:r>
      <w:bookmarkEnd w:id="3"/>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第十二条　国家根据不同地区的</w:t>
      </w:r>
      <w:hyperlink r:id="rId21" w:tgtFrame="_blank" w:history="1">
        <w:r w:rsidRPr="0069021C">
          <w:rPr>
            <w:rFonts w:ascii="Arial" w:eastAsia="宋体" w:hAnsi="Arial" w:cs="Arial"/>
            <w:color w:val="3366CC"/>
            <w:kern w:val="0"/>
            <w:sz w:val="17"/>
          </w:rPr>
          <w:t>经济发展</w:t>
        </w:r>
      </w:hyperlink>
      <w:r w:rsidRPr="0069021C">
        <w:rPr>
          <w:rFonts w:ascii="Arial" w:eastAsia="宋体" w:hAnsi="Arial" w:cs="Arial"/>
          <w:kern w:val="0"/>
          <w:sz w:val="17"/>
          <w:szCs w:val="17"/>
        </w:rPr>
        <w:t>水平和教育普及程度，实施以初中后为重点的不同阶段的教育分流，建立、健全职业学校教育与职业培训并举，并与其他教育相互沟通、</w:t>
      </w:r>
      <w:hyperlink r:id="rId22" w:tgtFrame="_blank" w:history="1">
        <w:r w:rsidRPr="0069021C">
          <w:rPr>
            <w:rFonts w:ascii="Arial" w:eastAsia="宋体" w:hAnsi="Arial" w:cs="Arial"/>
            <w:color w:val="3366CC"/>
            <w:kern w:val="0"/>
            <w:sz w:val="17"/>
          </w:rPr>
          <w:t>协调发展</w:t>
        </w:r>
      </w:hyperlink>
      <w:r w:rsidRPr="0069021C">
        <w:rPr>
          <w:rFonts w:ascii="Arial" w:eastAsia="宋体" w:hAnsi="Arial" w:cs="Arial"/>
          <w:kern w:val="0"/>
          <w:sz w:val="17"/>
          <w:szCs w:val="17"/>
        </w:rPr>
        <w:t>的职业教育体系。</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第十三条　职业学校教育分为初等、中等、高等职业学校教育。</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lastRenderedPageBreak/>
        <w:t xml:space="preserve">　　初等、</w:t>
      </w:r>
      <w:hyperlink r:id="rId23" w:tgtFrame="_blank" w:history="1">
        <w:r w:rsidRPr="0069021C">
          <w:rPr>
            <w:rFonts w:ascii="Arial" w:eastAsia="宋体" w:hAnsi="Arial" w:cs="Arial"/>
            <w:color w:val="3366CC"/>
            <w:kern w:val="0"/>
            <w:sz w:val="17"/>
          </w:rPr>
          <w:t>中等职业学校</w:t>
        </w:r>
      </w:hyperlink>
      <w:r w:rsidRPr="0069021C">
        <w:rPr>
          <w:rFonts w:ascii="Arial" w:eastAsia="宋体" w:hAnsi="Arial" w:cs="Arial"/>
          <w:kern w:val="0"/>
          <w:sz w:val="17"/>
          <w:szCs w:val="17"/>
        </w:rPr>
        <w:t>教育分别由初等、中等职业学校实施；高等职业学校教育根据需要和条件由高等职业学校实施，或者由</w:t>
      </w:r>
      <w:hyperlink r:id="rId24" w:tgtFrame="_blank" w:history="1">
        <w:r w:rsidRPr="0069021C">
          <w:rPr>
            <w:rFonts w:ascii="Arial" w:eastAsia="宋体" w:hAnsi="Arial" w:cs="Arial"/>
            <w:color w:val="3366CC"/>
            <w:kern w:val="0"/>
            <w:sz w:val="17"/>
          </w:rPr>
          <w:t>普通高等学校</w:t>
        </w:r>
      </w:hyperlink>
      <w:r w:rsidRPr="0069021C">
        <w:rPr>
          <w:rFonts w:ascii="Arial" w:eastAsia="宋体" w:hAnsi="Arial" w:cs="Arial"/>
          <w:kern w:val="0"/>
          <w:sz w:val="17"/>
          <w:szCs w:val="17"/>
        </w:rPr>
        <w:t>实施。其他学校按照教育行政部门的统筹规划，可以实施同层次的职业学校教育。</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第十四条　职业培训包括从业前培训、转业培训、</w:t>
      </w:r>
      <w:hyperlink r:id="rId25" w:tgtFrame="_blank" w:history="1">
        <w:r w:rsidRPr="0069021C">
          <w:rPr>
            <w:rFonts w:ascii="Arial" w:eastAsia="宋体" w:hAnsi="Arial" w:cs="Arial"/>
            <w:color w:val="3366CC"/>
            <w:kern w:val="0"/>
            <w:sz w:val="17"/>
          </w:rPr>
          <w:t>学徒培训</w:t>
        </w:r>
      </w:hyperlink>
      <w:r w:rsidRPr="0069021C">
        <w:rPr>
          <w:rFonts w:ascii="Arial" w:eastAsia="宋体" w:hAnsi="Arial" w:cs="Arial"/>
          <w:kern w:val="0"/>
          <w:sz w:val="17"/>
          <w:szCs w:val="17"/>
        </w:rPr>
        <w:t>、在岗培训、转岗培训及其他职业性培训，可以根据实际情况分为初级、中级、高级职业培训。</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职业培训分别由相应的职业培训机构、职业学校实施。</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其他学校或者教育机构可以根据办学能力，开展面向社会的、多种形式的职业培训。</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第十五条　残疾人职业教育除由</w:t>
      </w:r>
      <w:hyperlink r:id="rId26" w:tgtFrame="_blank" w:history="1">
        <w:r w:rsidRPr="0069021C">
          <w:rPr>
            <w:rFonts w:ascii="Arial" w:eastAsia="宋体" w:hAnsi="Arial" w:cs="Arial"/>
            <w:color w:val="3366CC"/>
            <w:kern w:val="0"/>
            <w:sz w:val="17"/>
          </w:rPr>
          <w:t>残疾人教育</w:t>
        </w:r>
      </w:hyperlink>
      <w:r w:rsidRPr="0069021C">
        <w:rPr>
          <w:rFonts w:ascii="Arial" w:eastAsia="宋体" w:hAnsi="Arial" w:cs="Arial"/>
          <w:kern w:val="0"/>
          <w:sz w:val="17"/>
          <w:szCs w:val="17"/>
        </w:rPr>
        <w:t>机构实施外，各级各类职业学校和职业培训机构及其他教育机构应当按照国家有关规定接纳残疾学生。</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第十六条　普通中学可以因地制宜地开设职业教育的课程，或者根据实际需要适当增加职业教育的</w:t>
      </w:r>
      <w:hyperlink r:id="rId27" w:tgtFrame="_blank" w:history="1">
        <w:r w:rsidRPr="0069021C">
          <w:rPr>
            <w:rFonts w:ascii="Arial" w:eastAsia="宋体" w:hAnsi="Arial" w:cs="Arial"/>
            <w:color w:val="3366CC"/>
            <w:kern w:val="0"/>
            <w:sz w:val="17"/>
          </w:rPr>
          <w:t>教学内容</w:t>
        </w:r>
      </w:hyperlink>
      <w:r w:rsidRPr="0069021C">
        <w:rPr>
          <w:rFonts w:ascii="Arial" w:eastAsia="宋体" w:hAnsi="Arial" w:cs="Arial"/>
          <w:kern w:val="0"/>
          <w:sz w:val="17"/>
          <w:szCs w:val="17"/>
        </w:rPr>
        <w:t>。</w:t>
      </w:r>
    </w:p>
    <w:p w:rsidR="0069021C" w:rsidRPr="0069021C" w:rsidRDefault="0069021C" w:rsidP="0069021C">
      <w:pPr>
        <w:widowControl/>
        <w:spacing w:line="432" w:lineRule="atLeast"/>
        <w:ind w:right="120"/>
        <w:jc w:val="left"/>
        <w:outlineLvl w:val="1"/>
        <w:rPr>
          <w:rFonts w:ascii="Arial" w:eastAsia="宋体" w:hAnsi="Arial" w:cs="Arial"/>
          <w:color w:val="7486C6"/>
          <w:kern w:val="0"/>
          <w:sz w:val="26"/>
          <w:szCs w:val="26"/>
        </w:rPr>
      </w:pPr>
      <w:r w:rsidRPr="0069021C">
        <w:rPr>
          <w:rFonts w:ascii="Arial" w:eastAsia="宋体" w:hAnsi="Arial" w:cs="Arial"/>
          <w:color w:val="FFFFFF"/>
          <w:kern w:val="0"/>
          <w:sz w:val="19"/>
          <w:szCs w:val="19"/>
          <w:shd w:val="clear" w:color="auto" w:fill="828EC9"/>
        </w:rPr>
        <w:t>3</w:t>
      </w:r>
      <w:bookmarkStart w:id="4" w:name="3"/>
      <w:bookmarkStart w:id="5" w:name="para3"/>
      <w:bookmarkEnd w:id="4"/>
      <w:r w:rsidRPr="0069021C">
        <w:rPr>
          <w:rFonts w:ascii="Arial" w:eastAsia="宋体" w:hAnsi="Arial" w:cs="Arial"/>
          <w:color w:val="7486C6"/>
          <w:kern w:val="0"/>
          <w:sz w:val="26"/>
          <w:szCs w:val="26"/>
        </w:rPr>
        <w:t>第三章　职业教育的实施</w:t>
      </w:r>
      <w:bookmarkEnd w:id="5"/>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第十七条　县级以上地方各级人民政府应当举办发挥骨干和示范作用的职业学校、职业培训机构，对农村、企业、事业组织、</w:t>
      </w:r>
      <w:hyperlink r:id="rId28" w:tgtFrame="_blank" w:history="1">
        <w:r w:rsidRPr="0069021C">
          <w:rPr>
            <w:rFonts w:ascii="Arial" w:eastAsia="宋体" w:hAnsi="Arial" w:cs="Arial"/>
            <w:color w:val="3366CC"/>
            <w:kern w:val="0"/>
            <w:sz w:val="17"/>
          </w:rPr>
          <w:t>社会团体</w:t>
        </w:r>
      </w:hyperlink>
      <w:r w:rsidRPr="0069021C">
        <w:rPr>
          <w:rFonts w:ascii="Arial" w:eastAsia="宋体" w:hAnsi="Arial" w:cs="Arial"/>
          <w:kern w:val="0"/>
          <w:sz w:val="17"/>
          <w:szCs w:val="17"/>
        </w:rPr>
        <w:t>、其他</w:t>
      </w:r>
      <w:hyperlink r:id="rId29" w:tgtFrame="_blank" w:history="1">
        <w:r w:rsidRPr="0069021C">
          <w:rPr>
            <w:rFonts w:ascii="Arial" w:eastAsia="宋体" w:hAnsi="Arial" w:cs="Arial"/>
            <w:color w:val="3366CC"/>
            <w:kern w:val="0"/>
            <w:sz w:val="17"/>
          </w:rPr>
          <w:t>社会组织</w:t>
        </w:r>
      </w:hyperlink>
      <w:r w:rsidRPr="0069021C">
        <w:rPr>
          <w:rFonts w:ascii="Arial" w:eastAsia="宋体" w:hAnsi="Arial" w:cs="Arial"/>
          <w:kern w:val="0"/>
          <w:sz w:val="17"/>
          <w:szCs w:val="17"/>
        </w:rPr>
        <w:t>及公民个人依法举办的职业学校和职业培训机构给予指导和扶持。</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第十八条　县级人民政府应当适应农村经济、科学技术、教育统筹发展的需要，举办多种形式的职业教育，开展实用技术的培训，促进农村职业教育的发展。</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第十九条　政府主管部门、行业组织应当举办或者联合举办职业学校、职业培训机构，组织、协调、指导本行业的企业、事业组织举办职业学校、职业培训机构。</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国家鼓励运用现代化</w:t>
      </w:r>
      <w:hyperlink r:id="rId30" w:tgtFrame="_blank" w:history="1">
        <w:r w:rsidRPr="0069021C">
          <w:rPr>
            <w:rFonts w:ascii="Arial" w:eastAsia="宋体" w:hAnsi="Arial" w:cs="Arial"/>
            <w:color w:val="3366CC"/>
            <w:kern w:val="0"/>
            <w:sz w:val="17"/>
          </w:rPr>
          <w:t>教学手段</w:t>
        </w:r>
      </w:hyperlink>
      <w:r w:rsidRPr="0069021C">
        <w:rPr>
          <w:rFonts w:ascii="Arial" w:eastAsia="宋体" w:hAnsi="Arial" w:cs="Arial"/>
          <w:kern w:val="0"/>
          <w:sz w:val="17"/>
          <w:szCs w:val="17"/>
        </w:rPr>
        <w:t>，发展职业教育。</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第二十条　企业应当根据本单位的实际，有计划地对本单位的职工和准备录用的人员实施职业教育。</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企业可以单独举办或者联合举办职业学校、职业培训机构，也可以委托学校、职业培训机构对本单位的职工和准备录用的人员实施职业教育。</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从事技术工种的职工，上岗前必须经过培训；从事</w:t>
      </w:r>
      <w:hyperlink r:id="rId31" w:tgtFrame="_blank" w:history="1">
        <w:r w:rsidRPr="0069021C">
          <w:rPr>
            <w:rFonts w:ascii="Arial" w:eastAsia="宋体" w:hAnsi="Arial" w:cs="Arial"/>
            <w:color w:val="3366CC"/>
            <w:kern w:val="0"/>
            <w:sz w:val="17"/>
          </w:rPr>
          <w:t>特种作业</w:t>
        </w:r>
      </w:hyperlink>
      <w:r w:rsidRPr="0069021C">
        <w:rPr>
          <w:rFonts w:ascii="Arial" w:eastAsia="宋体" w:hAnsi="Arial" w:cs="Arial"/>
          <w:kern w:val="0"/>
          <w:sz w:val="17"/>
          <w:szCs w:val="17"/>
        </w:rPr>
        <w:t>的职工必须经过培训，并取得特种作业资格。</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第二十一条　国家鼓励事业组织、社会团体、其他社会组织及公民个人按照国家有关规定举办职业学校、职业培训机构。</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境外的组织和个人在中国境内举办职业学校、职业培训机构的办法，由国务院规定。</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第二十二条　联合举办职业学校、职业培训机构，举办者应当签订联合办学合同。</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政府主管部门、行业组织、企业、事业组织委托学校、职业培训机构实施职业教育的，应当签订</w:t>
      </w:r>
      <w:hyperlink r:id="rId32" w:tgtFrame="_blank" w:history="1">
        <w:r w:rsidRPr="0069021C">
          <w:rPr>
            <w:rFonts w:ascii="Arial" w:eastAsia="宋体" w:hAnsi="Arial" w:cs="Arial"/>
            <w:color w:val="3366CC"/>
            <w:kern w:val="0"/>
            <w:sz w:val="17"/>
          </w:rPr>
          <w:t>委托合同</w:t>
        </w:r>
      </w:hyperlink>
      <w:r w:rsidRPr="0069021C">
        <w:rPr>
          <w:rFonts w:ascii="Arial" w:eastAsia="宋体" w:hAnsi="Arial" w:cs="Arial"/>
          <w:kern w:val="0"/>
          <w:sz w:val="17"/>
          <w:szCs w:val="17"/>
        </w:rPr>
        <w:t>。</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第二十三条　职业学校、职业培训机构实施职业教育应当实行产教结合，为本地区</w:t>
      </w:r>
      <w:hyperlink r:id="rId33" w:tgtFrame="_blank" w:history="1">
        <w:r w:rsidRPr="0069021C">
          <w:rPr>
            <w:rFonts w:ascii="Arial" w:eastAsia="宋体" w:hAnsi="Arial" w:cs="Arial"/>
            <w:color w:val="3366CC"/>
            <w:kern w:val="0"/>
            <w:sz w:val="17"/>
          </w:rPr>
          <w:t>经济建设</w:t>
        </w:r>
      </w:hyperlink>
      <w:r w:rsidRPr="0069021C">
        <w:rPr>
          <w:rFonts w:ascii="Arial" w:eastAsia="宋体" w:hAnsi="Arial" w:cs="Arial"/>
          <w:kern w:val="0"/>
          <w:sz w:val="17"/>
          <w:szCs w:val="17"/>
        </w:rPr>
        <w:t>服务，与企业密切联系，培养实用人才和熟练劳动者。</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lastRenderedPageBreak/>
        <w:t xml:space="preserve">　　职业学校、职业培训机构可以举办与职业教育有关的企业或者实习场所。</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第二十四条　职业学校的设立，必须符合下列基本条件：</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（一）有</w:t>
      </w:r>
      <w:hyperlink r:id="rId34" w:tgtFrame="_blank" w:history="1">
        <w:r w:rsidRPr="0069021C">
          <w:rPr>
            <w:rFonts w:ascii="Arial" w:eastAsia="宋体" w:hAnsi="Arial" w:cs="Arial"/>
            <w:color w:val="3366CC"/>
            <w:kern w:val="0"/>
            <w:sz w:val="17"/>
          </w:rPr>
          <w:t>组织机构</w:t>
        </w:r>
      </w:hyperlink>
      <w:r w:rsidRPr="0069021C">
        <w:rPr>
          <w:rFonts w:ascii="Arial" w:eastAsia="宋体" w:hAnsi="Arial" w:cs="Arial"/>
          <w:kern w:val="0"/>
          <w:sz w:val="17"/>
          <w:szCs w:val="17"/>
        </w:rPr>
        <w:t>和章程；</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（二）有合格的教师；</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（三）有符合规定标准的教学场所、与职业教育相适应的设施、设备；</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（四）有必备的办学资金和稳定的经费来源。</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职业培训机构的设立，必须符合下列基本条件：</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（一）有组织机构和</w:t>
      </w:r>
      <w:hyperlink r:id="rId35" w:tgtFrame="_blank" w:history="1">
        <w:r w:rsidRPr="0069021C">
          <w:rPr>
            <w:rFonts w:ascii="Arial" w:eastAsia="宋体" w:hAnsi="Arial" w:cs="Arial"/>
            <w:color w:val="3366CC"/>
            <w:kern w:val="0"/>
            <w:sz w:val="17"/>
          </w:rPr>
          <w:t>管理制度</w:t>
        </w:r>
      </w:hyperlink>
      <w:r w:rsidRPr="0069021C">
        <w:rPr>
          <w:rFonts w:ascii="Arial" w:eastAsia="宋体" w:hAnsi="Arial" w:cs="Arial"/>
          <w:kern w:val="0"/>
          <w:sz w:val="17"/>
          <w:szCs w:val="17"/>
        </w:rPr>
        <w:t>；</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（二）有与培训任务相适应的教师和</w:t>
      </w:r>
      <w:hyperlink r:id="rId36" w:tgtFrame="_blank" w:history="1">
        <w:r w:rsidRPr="0069021C">
          <w:rPr>
            <w:rFonts w:ascii="Arial" w:eastAsia="宋体" w:hAnsi="Arial" w:cs="Arial"/>
            <w:color w:val="3366CC"/>
            <w:kern w:val="0"/>
            <w:sz w:val="17"/>
          </w:rPr>
          <w:t>管理人员</w:t>
        </w:r>
      </w:hyperlink>
      <w:r w:rsidRPr="0069021C">
        <w:rPr>
          <w:rFonts w:ascii="Arial" w:eastAsia="宋体" w:hAnsi="Arial" w:cs="Arial"/>
          <w:kern w:val="0"/>
          <w:sz w:val="17"/>
          <w:szCs w:val="17"/>
        </w:rPr>
        <w:t>；</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（三）有与进行培训相适应的场所、设施、设备；</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（四）有相应的经费。</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职业学校和职业培训机构的设立、变更和终止，应当按照国家有关规定执行。</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第二十五条　接受职业学校教育的学生，经学校考核合格，按照国家有关规定，发给学历证书。接受职业培训的学生，经培训的职业学校或者职业培训机构考核合格，按照国家有关规定，发给培训证书。</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学历证书、培训证书按照国家有关规定，作为职业学校、职业培训机构的毕业生、</w:t>
      </w:r>
      <w:hyperlink r:id="rId37" w:tgtFrame="_blank" w:history="1">
        <w:r w:rsidRPr="0069021C">
          <w:rPr>
            <w:rFonts w:ascii="Arial" w:eastAsia="宋体" w:hAnsi="Arial" w:cs="Arial"/>
            <w:color w:val="3366CC"/>
            <w:kern w:val="0"/>
            <w:sz w:val="17"/>
          </w:rPr>
          <w:t>结业生</w:t>
        </w:r>
      </w:hyperlink>
      <w:r w:rsidRPr="0069021C">
        <w:rPr>
          <w:rFonts w:ascii="Arial" w:eastAsia="宋体" w:hAnsi="Arial" w:cs="Arial"/>
          <w:kern w:val="0"/>
          <w:sz w:val="17"/>
          <w:szCs w:val="17"/>
        </w:rPr>
        <w:t>从业的凭证。</w:t>
      </w:r>
    </w:p>
    <w:p w:rsidR="0069021C" w:rsidRPr="0069021C" w:rsidRDefault="0069021C" w:rsidP="0069021C">
      <w:pPr>
        <w:widowControl/>
        <w:spacing w:line="432" w:lineRule="atLeast"/>
        <w:ind w:right="120"/>
        <w:jc w:val="left"/>
        <w:outlineLvl w:val="1"/>
        <w:rPr>
          <w:rFonts w:ascii="Arial" w:eastAsia="宋体" w:hAnsi="Arial" w:cs="Arial"/>
          <w:color w:val="7486C6"/>
          <w:kern w:val="0"/>
          <w:sz w:val="26"/>
          <w:szCs w:val="26"/>
        </w:rPr>
      </w:pPr>
      <w:r w:rsidRPr="0069021C">
        <w:rPr>
          <w:rFonts w:ascii="Arial" w:eastAsia="宋体" w:hAnsi="Arial" w:cs="Arial"/>
          <w:color w:val="FFFFFF"/>
          <w:kern w:val="0"/>
          <w:sz w:val="19"/>
          <w:szCs w:val="19"/>
          <w:shd w:val="clear" w:color="auto" w:fill="828EC9"/>
        </w:rPr>
        <w:t>4</w:t>
      </w:r>
      <w:bookmarkStart w:id="6" w:name="4"/>
      <w:bookmarkStart w:id="7" w:name="para4"/>
      <w:bookmarkEnd w:id="6"/>
      <w:r w:rsidRPr="0069021C">
        <w:rPr>
          <w:rFonts w:ascii="Arial" w:eastAsia="宋体" w:hAnsi="Arial" w:cs="Arial"/>
          <w:color w:val="7486C6"/>
          <w:kern w:val="0"/>
          <w:sz w:val="26"/>
          <w:szCs w:val="26"/>
        </w:rPr>
        <w:t>第四章　职业教育的保障条件</w:t>
      </w:r>
      <w:bookmarkEnd w:id="7"/>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第二十六条　国家鼓励通过多种渠道依法筹集发展职业教育的资金。</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第二十七条　省、自治区、直辖市人民政府应当制定本地区职业学校学生人数平均经费标准；国务院有关部门应当会同国务院财政部门制定本部门职业学校学生人数平均经费标准。职业学校举办者应当按照学生人数平均经费标准足额拨付职业教育经费。</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各级人民政府、国务院有关部门用于举办职业学校和职业培训机构的财政性经费应当逐步增长。</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任何组织和个人不得挪用、克扣职业教育的经费。</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第二十八条　企业应当承担对本单位的职工和准备录用的人员进行职业教育的费用，具体办法由国务院有关部门会同国务院财政部门或者由省、自治区、直辖市人民政府依法规定。</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第二十九条　企业未按本法第二十条的规定实施职业教育的，县级以上地方人民政府应当责令改正；拒不改正的，可以收取企业应当承担的职业教育经费，用于本地区的职业教育。</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第三十条　省、自治区、直辖市人民政府按照教育法的有关规定决定开征的用于教育的地方附加费，可以专项或者安排一定比例用于职业教育。</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第三十一条　各级人民政府可以将农村科学技术开发、技术推广的经费，适当用于农村职业培训。</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第三十二条　职业学校、职业培训机构可以对接受中等、高等职业学校教育和职业培训的学生适当收取学费，对经济困难的学生和残疾学生应当酌情减免。收费办法由省、自治区、直辖市人民政府规定。</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lastRenderedPageBreak/>
        <w:t xml:space="preserve">　　国家支持企业、事业组织、社会团体、其他社会组织及公民个人按照国家有关规定设立职业教育奖学金、贷学金，奖励学习成绩优秀的学生或者资助经济困难的学生。</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第三十三条　职业学校、职业培训机构举办企业和从事</w:t>
      </w:r>
      <w:hyperlink r:id="rId38" w:tgtFrame="_blank" w:history="1">
        <w:r w:rsidRPr="0069021C">
          <w:rPr>
            <w:rFonts w:ascii="Arial" w:eastAsia="宋体" w:hAnsi="Arial" w:cs="Arial"/>
            <w:color w:val="3366CC"/>
            <w:kern w:val="0"/>
            <w:sz w:val="17"/>
          </w:rPr>
          <w:t>社会服务</w:t>
        </w:r>
      </w:hyperlink>
      <w:r w:rsidRPr="0069021C">
        <w:rPr>
          <w:rFonts w:ascii="Arial" w:eastAsia="宋体" w:hAnsi="Arial" w:cs="Arial"/>
          <w:kern w:val="0"/>
          <w:sz w:val="17"/>
          <w:szCs w:val="17"/>
        </w:rPr>
        <w:t>的收入应当主要用于发展职业教育。</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第三十四条　国家鼓励</w:t>
      </w:r>
      <w:hyperlink r:id="rId39" w:tgtFrame="_blank" w:history="1">
        <w:r w:rsidRPr="0069021C">
          <w:rPr>
            <w:rFonts w:ascii="Arial" w:eastAsia="宋体" w:hAnsi="Arial" w:cs="Arial"/>
            <w:color w:val="3366CC"/>
            <w:kern w:val="0"/>
            <w:sz w:val="17"/>
          </w:rPr>
          <w:t>金融机构</w:t>
        </w:r>
      </w:hyperlink>
      <w:r w:rsidRPr="0069021C">
        <w:rPr>
          <w:rFonts w:ascii="Arial" w:eastAsia="宋体" w:hAnsi="Arial" w:cs="Arial"/>
          <w:kern w:val="0"/>
          <w:sz w:val="17"/>
          <w:szCs w:val="17"/>
        </w:rPr>
        <w:t>运用信贷手段，扶持发展职业教育。</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第三十五条　国家鼓励企业、事业组织、社会团体、其他社会组织及公民个人对职业教育捐资助学，鼓励境外的组织和个人对职业教育提供资助和捐赠。提供的资助和捐赠，必须用于职业教育。</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第三十六条　县级以上各级人民政府和有关部门应当将职业教育教师的培养和培训工作纳入教师队伍建设规划，保证职业教育教师队伍适应职业教育发展的需要。</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职业学校和职业培训机构可以聘请</w:t>
      </w:r>
      <w:hyperlink r:id="rId40" w:tgtFrame="_blank" w:history="1">
        <w:r w:rsidRPr="0069021C">
          <w:rPr>
            <w:rFonts w:ascii="Arial" w:eastAsia="宋体" w:hAnsi="Arial" w:cs="Arial"/>
            <w:color w:val="3366CC"/>
            <w:kern w:val="0"/>
            <w:sz w:val="17"/>
          </w:rPr>
          <w:t>专业技术人员</w:t>
        </w:r>
      </w:hyperlink>
      <w:r w:rsidRPr="0069021C">
        <w:rPr>
          <w:rFonts w:ascii="Arial" w:eastAsia="宋体" w:hAnsi="Arial" w:cs="Arial"/>
          <w:kern w:val="0"/>
          <w:sz w:val="17"/>
          <w:szCs w:val="17"/>
        </w:rPr>
        <w:t>、有特殊技能的人员和其他教育机构的教师担任兼职教师。有关部门和单位应当提供方便。</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第三十七条　国务院有关部门、县级以上地方各级人民政府以及举办职业学校、职业培训机构的组织、公民个人，应当加强职业教育生产实习基地的建设。</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企业、事业组织应当接纳职业学校和职业培训机构的学生和教师实习；对上岗实习的，应当给予适当的</w:t>
      </w:r>
      <w:hyperlink r:id="rId41" w:tgtFrame="_blank" w:history="1">
        <w:r w:rsidRPr="0069021C">
          <w:rPr>
            <w:rFonts w:ascii="Arial" w:eastAsia="宋体" w:hAnsi="Arial" w:cs="Arial"/>
            <w:color w:val="3366CC"/>
            <w:kern w:val="0"/>
            <w:sz w:val="17"/>
          </w:rPr>
          <w:t>劳动报酬</w:t>
        </w:r>
      </w:hyperlink>
      <w:r w:rsidRPr="0069021C">
        <w:rPr>
          <w:rFonts w:ascii="Arial" w:eastAsia="宋体" w:hAnsi="Arial" w:cs="Arial"/>
          <w:kern w:val="0"/>
          <w:sz w:val="17"/>
          <w:szCs w:val="17"/>
        </w:rPr>
        <w:t>。</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第三十八条　县级以上各级人民政府和有关部门应当建立、健全职业教育服务体系，加强职业教育教材的编辑、出版和发行工作。</w:t>
      </w:r>
    </w:p>
    <w:p w:rsidR="0069021C" w:rsidRPr="0069021C" w:rsidRDefault="0069021C" w:rsidP="0069021C">
      <w:pPr>
        <w:widowControl/>
        <w:spacing w:line="432" w:lineRule="atLeast"/>
        <w:ind w:right="120"/>
        <w:jc w:val="left"/>
        <w:outlineLvl w:val="1"/>
        <w:rPr>
          <w:rFonts w:ascii="Arial" w:eastAsia="宋体" w:hAnsi="Arial" w:cs="Arial"/>
          <w:color w:val="7486C6"/>
          <w:kern w:val="0"/>
          <w:sz w:val="26"/>
          <w:szCs w:val="26"/>
        </w:rPr>
      </w:pPr>
      <w:r w:rsidRPr="0069021C">
        <w:rPr>
          <w:rFonts w:ascii="Arial" w:eastAsia="宋体" w:hAnsi="Arial" w:cs="Arial"/>
          <w:color w:val="FFFFFF"/>
          <w:kern w:val="0"/>
          <w:sz w:val="19"/>
          <w:szCs w:val="19"/>
          <w:shd w:val="clear" w:color="auto" w:fill="828EC9"/>
        </w:rPr>
        <w:t>5</w:t>
      </w:r>
      <w:bookmarkStart w:id="8" w:name="5"/>
      <w:bookmarkStart w:id="9" w:name="para5"/>
      <w:bookmarkEnd w:id="8"/>
      <w:r w:rsidRPr="0069021C">
        <w:rPr>
          <w:rFonts w:ascii="Arial" w:eastAsia="宋体" w:hAnsi="Arial" w:cs="Arial"/>
          <w:color w:val="7486C6"/>
          <w:kern w:val="0"/>
          <w:sz w:val="26"/>
          <w:szCs w:val="26"/>
        </w:rPr>
        <w:t>第五章　附则</w:t>
      </w:r>
      <w:bookmarkEnd w:id="9"/>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第三十九条　在职业教育活动中违反教育法规定的，应当依照教育法的有关规定给予处罚。</w:t>
      </w:r>
    </w:p>
    <w:p w:rsidR="0069021C" w:rsidRPr="0069021C" w:rsidRDefault="0069021C" w:rsidP="0069021C">
      <w:pPr>
        <w:widowControl/>
        <w:spacing w:after="180" w:line="288" w:lineRule="atLeast"/>
        <w:ind w:firstLine="480"/>
        <w:jc w:val="left"/>
        <w:rPr>
          <w:rFonts w:ascii="Arial" w:eastAsia="宋体" w:hAnsi="Arial" w:cs="Arial"/>
          <w:kern w:val="0"/>
          <w:sz w:val="17"/>
          <w:szCs w:val="17"/>
        </w:rPr>
      </w:pPr>
      <w:r w:rsidRPr="0069021C">
        <w:rPr>
          <w:rFonts w:ascii="Arial" w:eastAsia="宋体" w:hAnsi="Arial" w:cs="Arial"/>
          <w:kern w:val="0"/>
          <w:sz w:val="17"/>
          <w:szCs w:val="17"/>
        </w:rPr>
        <w:t xml:space="preserve">　　第四十条　本法自</w:t>
      </w:r>
      <w:r w:rsidRPr="0069021C">
        <w:rPr>
          <w:rFonts w:ascii="Arial" w:eastAsia="宋体" w:hAnsi="Arial" w:cs="Arial"/>
          <w:kern w:val="0"/>
          <w:sz w:val="17"/>
          <w:szCs w:val="17"/>
        </w:rPr>
        <w:t>1996</w:t>
      </w:r>
      <w:r w:rsidRPr="0069021C">
        <w:rPr>
          <w:rFonts w:ascii="Arial" w:eastAsia="宋体" w:hAnsi="Arial" w:cs="Arial"/>
          <w:kern w:val="0"/>
          <w:sz w:val="17"/>
          <w:szCs w:val="17"/>
        </w:rPr>
        <w:t>年</w:t>
      </w:r>
      <w:r w:rsidRPr="0069021C">
        <w:rPr>
          <w:rFonts w:ascii="Arial" w:eastAsia="宋体" w:hAnsi="Arial" w:cs="Arial"/>
          <w:kern w:val="0"/>
          <w:sz w:val="17"/>
          <w:szCs w:val="17"/>
        </w:rPr>
        <w:t>9</w:t>
      </w:r>
      <w:r w:rsidRPr="0069021C">
        <w:rPr>
          <w:rFonts w:ascii="Arial" w:eastAsia="宋体" w:hAnsi="Arial" w:cs="Arial"/>
          <w:kern w:val="0"/>
          <w:sz w:val="17"/>
          <w:szCs w:val="17"/>
        </w:rPr>
        <w:t>月</w:t>
      </w:r>
      <w:r w:rsidRPr="0069021C">
        <w:rPr>
          <w:rFonts w:ascii="Arial" w:eastAsia="宋体" w:hAnsi="Arial" w:cs="Arial"/>
          <w:kern w:val="0"/>
          <w:sz w:val="17"/>
          <w:szCs w:val="17"/>
        </w:rPr>
        <w:t>1</w:t>
      </w:r>
      <w:r w:rsidRPr="0069021C">
        <w:rPr>
          <w:rFonts w:ascii="Arial" w:eastAsia="宋体" w:hAnsi="Arial" w:cs="Arial"/>
          <w:kern w:val="0"/>
          <w:sz w:val="17"/>
          <w:szCs w:val="17"/>
        </w:rPr>
        <w:t>日起施行</w:t>
      </w:r>
    </w:p>
    <w:p w:rsidR="00AF7F8A" w:rsidRDefault="00AF7F8A"/>
    <w:sectPr w:rsidR="00AF7F8A" w:rsidSect="00AF7F8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9021C"/>
    <w:rsid w:val="0069021C"/>
    <w:rsid w:val="00AF7F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F8A"/>
    <w:pPr>
      <w:widowControl w:val="0"/>
      <w:jc w:val="both"/>
    </w:pPr>
  </w:style>
  <w:style w:type="paragraph" w:styleId="1">
    <w:name w:val="heading 1"/>
    <w:basedOn w:val="a"/>
    <w:next w:val="a"/>
    <w:link w:val="1Char"/>
    <w:uiPriority w:val="9"/>
    <w:qFormat/>
    <w:rsid w:val="0069021C"/>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69021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69021C"/>
    <w:rPr>
      <w:rFonts w:ascii="宋体" w:eastAsia="宋体" w:hAnsi="宋体" w:cs="宋体"/>
      <w:b/>
      <w:bCs/>
      <w:kern w:val="0"/>
      <w:sz w:val="36"/>
      <w:szCs w:val="36"/>
    </w:rPr>
  </w:style>
  <w:style w:type="character" w:styleId="a3">
    <w:name w:val="Hyperlink"/>
    <w:basedOn w:val="a0"/>
    <w:uiPriority w:val="99"/>
    <w:semiHidden/>
    <w:unhideWhenUsed/>
    <w:rsid w:val="0069021C"/>
    <w:rPr>
      <w:color w:val="0000FF"/>
      <w:u w:val="single"/>
    </w:rPr>
  </w:style>
  <w:style w:type="paragraph" w:styleId="a4">
    <w:name w:val="Normal (Web)"/>
    <w:basedOn w:val="a"/>
    <w:uiPriority w:val="99"/>
    <w:semiHidden/>
    <w:unhideWhenUsed/>
    <w:rsid w:val="0069021C"/>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69021C"/>
    <w:rPr>
      <w:b/>
      <w:bCs/>
      <w:kern w:val="44"/>
      <w:sz w:val="44"/>
      <w:szCs w:val="44"/>
    </w:rPr>
  </w:style>
</w:styles>
</file>

<file path=word/webSettings.xml><?xml version="1.0" encoding="utf-8"?>
<w:webSettings xmlns:r="http://schemas.openxmlformats.org/officeDocument/2006/relationships" xmlns:w="http://schemas.openxmlformats.org/wordprocessingml/2006/main">
  <w:divs>
    <w:div w:id="895435607">
      <w:bodyDiv w:val="1"/>
      <w:marLeft w:val="0"/>
      <w:marRight w:val="0"/>
      <w:marTop w:val="0"/>
      <w:marBottom w:val="0"/>
      <w:divBdr>
        <w:top w:val="none" w:sz="0" w:space="0" w:color="auto"/>
        <w:left w:val="none" w:sz="0" w:space="0" w:color="auto"/>
        <w:bottom w:val="none" w:sz="0" w:space="0" w:color="auto"/>
        <w:right w:val="none" w:sz="0" w:space="0" w:color="auto"/>
      </w:divBdr>
    </w:div>
    <w:div w:id="1021980076">
      <w:bodyDiv w:val="1"/>
      <w:marLeft w:val="0"/>
      <w:marRight w:val="0"/>
      <w:marTop w:val="0"/>
      <w:marBottom w:val="0"/>
      <w:divBdr>
        <w:top w:val="none" w:sz="0" w:space="0" w:color="auto"/>
        <w:left w:val="none" w:sz="0" w:space="0" w:color="auto"/>
        <w:bottom w:val="none" w:sz="0" w:space="0" w:color="auto"/>
        <w:right w:val="none" w:sz="0" w:space="0" w:color="auto"/>
      </w:divBdr>
      <w:divsChild>
        <w:div w:id="970863987">
          <w:marLeft w:val="0"/>
          <w:marRight w:val="0"/>
          <w:marTop w:val="348"/>
          <w:marBottom w:val="180"/>
          <w:divBdr>
            <w:top w:val="none" w:sz="0" w:space="0" w:color="auto"/>
            <w:left w:val="none" w:sz="0" w:space="0" w:color="auto"/>
            <w:bottom w:val="none" w:sz="0" w:space="0" w:color="auto"/>
            <w:right w:val="none" w:sz="0" w:space="0" w:color="auto"/>
          </w:divBdr>
        </w:div>
        <w:div w:id="1074087904">
          <w:marLeft w:val="0"/>
          <w:marRight w:val="0"/>
          <w:marTop w:val="0"/>
          <w:marBottom w:val="0"/>
          <w:divBdr>
            <w:top w:val="none" w:sz="0" w:space="0" w:color="auto"/>
            <w:left w:val="none" w:sz="0" w:space="0" w:color="auto"/>
            <w:bottom w:val="none" w:sz="0" w:space="0" w:color="auto"/>
            <w:right w:val="none" w:sz="0" w:space="0" w:color="auto"/>
          </w:divBdr>
          <w:divsChild>
            <w:div w:id="542181658">
              <w:marLeft w:val="0"/>
              <w:marRight w:val="0"/>
              <w:marTop w:val="0"/>
              <w:marBottom w:val="120"/>
              <w:divBdr>
                <w:top w:val="none" w:sz="0" w:space="0" w:color="auto"/>
                <w:left w:val="none" w:sz="0" w:space="0" w:color="auto"/>
                <w:bottom w:val="none" w:sz="0" w:space="0" w:color="auto"/>
                <w:right w:val="none" w:sz="0" w:space="0" w:color="auto"/>
              </w:divBdr>
            </w:div>
          </w:divsChild>
        </w:div>
        <w:div w:id="1960716176">
          <w:marLeft w:val="0"/>
          <w:marRight w:val="0"/>
          <w:marTop w:val="348"/>
          <w:marBottom w:val="180"/>
          <w:divBdr>
            <w:top w:val="none" w:sz="0" w:space="0" w:color="auto"/>
            <w:left w:val="none" w:sz="0" w:space="0" w:color="auto"/>
            <w:bottom w:val="none" w:sz="0" w:space="0" w:color="auto"/>
            <w:right w:val="none" w:sz="0" w:space="0" w:color="auto"/>
          </w:divBdr>
        </w:div>
        <w:div w:id="736168510">
          <w:marLeft w:val="0"/>
          <w:marRight w:val="0"/>
          <w:marTop w:val="0"/>
          <w:marBottom w:val="0"/>
          <w:divBdr>
            <w:top w:val="none" w:sz="0" w:space="0" w:color="auto"/>
            <w:left w:val="none" w:sz="0" w:space="0" w:color="auto"/>
            <w:bottom w:val="none" w:sz="0" w:space="0" w:color="auto"/>
            <w:right w:val="none" w:sz="0" w:space="0" w:color="auto"/>
          </w:divBdr>
          <w:divsChild>
            <w:div w:id="1372001359">
              <w:marLeft w:val="0"/>
              <w:marRight w:val="0"/>
              <w:marTop w:val="0"/>
              <w:marBottom w:val="120"/>
              <w:divBdr>
                <w:top w:val="none" w:sz="0" w:space="0" w:color="auto"/>
                <w:left w:val="none" w:sz="0" w:space="0" w:color="auto"/>
                <w:bottom w:val="none" w:sz="0" w:space="0" w:color="auto"/>
                <w:right w:val="none" w:sz="0" w:space="0" w:color="auto"/>
              </w:divBdr>
            </w:div>
          </w:divsChild>
        </w:div>
        <w:div w:id="32388638">
          <w:marLeft w:val="0"/>
          <w:marRight w:val="0"/>
          <w:marTop w:val="348"/>
          <w:marBottom w:val="180"/>
          <w:divBdr>
            <w:top w:val="none" w:sz="0" w:space="0" w:color="auto"/>
            <w:left w:val="none" w:sz="0" w:space="0" w:color="auto"/>
            <w:bottom w:val="none" w:sz="0" w:space="0" w:color="auto"/>
            <w:right w:val="none" w:sz="0" w:space="0" w:color="auto"/>
          </w:divBdr>
        </w:div>
        <w:div w:id="1716660648">
          <w:marLeft w:val="0"/>
          <w:marRight w:val="0"/>
          <w:marTop w:val="0"/>
          <w:marBottom w:val="0"/>
          <w:divBdr>
            <w:top w:val="none" w:sz="0" w:space="0" w:color="auto"/>
            <w:left w:val="none" w:sz="0" w:space="0" w:color="auto"/>
            <w:bottom w:val="none" w:sz="0" w:space="0" w:color="auto"/>
            <w:right w:val="none" w:sz="0" w:space="0" w:color="auto"/>
          </w:divBdr>
          <w:divsChild>
            <w:div w:id="1127822532">
              <w:marLeft w:val="0"/>
              <w:marRight w:val="0"/>
              <w:marTop w:val="0"/>
              <w:marBottom w:val="120"/>
              <w:divBdr>
                <w:top w:val="none" w:sz="0" w:space="0" w:color="auto"/>
                <w:left w:val="none" w:sz="0" w:space="0" w:color="auto"/>
                <w:bottom w:val="none" w:sz="0" w:space="0" w:color="auto"/>
                <w:right w:val="none" w:sz="0" w:space="0" w:color="auto"/>
              </w:divBdr>
            </w:div>
          </w:divsChild>
        </w:div>
        <w:div w:id="815103582">
          <w:marLeft w:val="0"/>
          <w:marRight w:val="0"/>
          <w:marTop w:val="348"/>
          <w:marBottom w:val="180"/>
          <w:divBdr>
            <w:top w:val="none" w:sz="0" w:space="0" w:color="auto"/>
            <w:left w:val="none" w:sz="0" w:space="0" w:color="auto"/>
            <w:bottom w:val="none" w:sz="0" w:space="0" w:color="auto"/>
            <w:right w:val="none" w:sz="0" w:space="0" w:color="auto"/>
          </w:divBdr>
        </w:div>
        <w:div w:id="1946032638">
          <w:marLeft w:val="0"/>
          <w:marRight w:val="0"/>
          <w:marTop w:val="0"/>
          <w:marBottom w:val="0"/>
          <w:divBdr>
            <w:top w:val="none" w:sz="0" w:space="0" w:color="auto"/>
            <w:left w:val="none" w:sz="0" w:space="0" w:color="auto"/>
            <w:bottom w:val="none" w:sz="0" w:space="0" w:color="auto"/>
            <w:right w:val="none" w:sz="0" w:space="0" w:color="auto"/>
          </w:divBdr>
          <w:divsChild>
            <w:div w:id="233929453">
              <w:marLeft w:val="0"/>
              <w:marRight w:val="0"/>
              <w:marTop w:val="0"/>
              <w:marBottom w:val="120"/>
              <w:divBdr>
                <w:top w:val="none" w:sz="0" w:space="0" w:color="auto"/>
                <w:left w:val="none" w:sz="0" w:space="0" w:color="auto"/>
                <w:bottom w:val="none" w:sz="0" w:space="0" w:color="auto"/>
                <w:right w:val="none" w:sz="0" w:space="0" w:color="auto"/>
              </w:divBdr>
            </w:div>
          </w:divsChild>
        </w:div>
        <w:div w:id="711810420">
          <w:marLeft w:val="0"/>
          <w:marRight w:val="0"/>
          <w:marTop w:val="348"/>
          <w:marBottom w:val="180"/>
          <w:divBdr>
            <w:top w:val="none" w:sz="0" w:space="0" w:color="auto"/>
            <w:left w:val="none" w:sz="0" w:space="0" w:color="auto"/>
            <w:bottom w:val="none" w:sz="0" w:space="0" w:color="auto"/>
            <w:right w:val="none" w:sz="0" w:space="0" w:color="auto"/>
          </w:divBdr>
        </w:div>
        <w:div w:id="708723745">
          <w:marLeft w:val="0"/>
          <w:marRight w:val="0"/>
          <w:marTop w:val="0"/>
          <w:marBottom w:val="0"/>
          <w:divBdr>
            <w:top w:val="none" w:sz="0" w:space="0" w:color="auto"/>
            <w:left w:val="none" w:sz="0" w:space="0" w:color="auto"/>
            <w:bottom w:val="none" w:sz="0" w:space="0" w:color="auto"/>
            <w:right w:val="none" w:sz="0" w:space="0" w:color="auto"/>
          </w:divBdr>
          <w:divsChild>
            <w:div w:id="125273871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sogou.com/lemma/ShowInnerLink.htm?lemmaId=188299" TargetMode="External"/><Relationship Id="rId13" Type="http://schemas.openxmlformats.org/officeDocument/2006/relationships/hyperlink" Target="http://baike.sogou.com/lemma/ShowInnerLink.htm?lemmaId=7555900" TargetMode="External"/><Relationship Id="rId18" Type="http://schemas.openxmlformats.org/officeDocument/2006/relationships/hyperlink" Target="http://baike.sogou.com/lemma/ShowInnerLink.htm?lemmaId=634512" TargetMode="External"/><Relationship Id="rId26" Type="http://schemas.openxmlformats.org/officeDocument/2006/relationships/hyperlink" Target="http://baike.sogou.com/lemma/ShowInnerLink.htm?lemmaId=7454560" TargetMode="External"/><Relationship Id="rId39" Type="http://schemas.openxmlformats.org/officeDocument/2006/relationships/hyperlink" Target="http://baike.sogou.com/lemma/ShowInnerLink.htm?lemmaId=6202" TargetMode="External"/><Relationship Id="rId3" Type="http://schemas.openxmlformats.org/officeDocument/2006/relationships/webSettings" Target="webSettings.xml"/><Relationship Id="rId21" Type="http://schemas.openxmlformats.org/officeDocument/2006/relationships/hyperlink" Target="http://baike.sogou.com/lemma/ShowInnerLink.htm?lemmaId=7692659" TargetMode="External"/><Relationship Id="rId34" Type="http://schemas.openxmlformats.org/officeDocument/2006/relationships/hyperlink" Target="http://baike.sogou.com/lemma/ShowInnerLink.htm?lemmaId=80673" TargetMode="External"/><Relationship Id="rId42" Type="http://schemas.openxmlformats.org/officeDocument/2006/relationships/fontTable" Target="fontTable.xml"/><Relationship Id="rId7" Type="http://schemas.openxmlformats.org/officeDocument/2006/relationships/hyperlink" Target="http://baike.sogou.com/lemma/ShowInnerLink.htm?lemmaId=430692" TargetMode="External"/><Relationship Id="rId12" Type="http://schemas.openxmlformats.org/officeDocument/2006/relationships/hyperlink" Target="http://baike.sogou.com/lemma/ShowInnerLink.htm?lemmaId=8839290" TargetMode="External"/><Relationship Id="rId17" Type="http://schemas.openxmlformats.org/officeDocument/2006/relationships/hyperlink" Target="http://baike.sogou.com/lemma/ShowInnerLink.htm?lemmaId=235651" TargetMode="External"/><Relationship Id="rId25" Type="http://schemas.openxmlformats.org/officeDocument/2006/relationships/hyperlink" Target="http://baike.sogou.com/lemma/ShowInnerLink.htm?lemmaId=455232" TargetMode="External"/><Relationship Id="rId33" Type="http://schemas.openxmlformats.org/officeDocument/2006/relationships/hyperlink" Target="http://baike.sogou.com/lemma/ShowInnerLink.htm?lemmaId=504711" TargetMode="External"/><Relationship Id="rId38" Type="http://schemas.openxmlformats.org/officeDocument/2006/relationships/hyperlink" Target="http://baike.sogou.com/lemma/ShowInnerLink.htm?lemmaId=6325201" TargetMode="External"/><Relationship Id="rId2" Type="http://schemas.openxmlformats.org/officeDocument/2006/relationships/settings" Target="settings.xml"/><Relationship Id="rId16" Type="http://schemas.openxmlformats.org/officeDocument/2006/relationships/hyperlink" Target="http://baike.sogou.com/lemma/ShowInnerLink.htm?lemmaId=657858" TargetMode="External"/><Relationship Id="rId20" Type="http://schemas.openxmlformats.org/officeDocument/2006/relationships/hyperlink" Target="http://baike.sogou.com/lemma/ShowInnerLink.htm?lemmaId=267040" TargetMode="External"/><Relationship Id="rId29" Type="http://schemas.openxmlformats.org/officeDocument/2006/relationships/hyperlink" Target="http://baike.sogou.com/lemma/ShowInnerLink.htm?lemmaId=342096" TargetMode="External"/><Relationship Id="rId41" Type="http://schemas.openxmlformats.org/officeDocument/2006/relationships/hyperlink" Target="http://baike.sogou.com/lemma/ShowInnerLink.htm?lemmaId=341631" TargetMode="External"/><Relationship Id="rId1" Type="http://schemas.openxmlformats.org/officeDocument/2006/relationships/styles" Target="styles.xml"/><Relationship Id="rId6" Type="http://schemas.openxmlformats.org/officeDocument/2006/relationships/hyperlink" Target="http://baike.sogou.com/lemma/ShowInnerLink.htm?lemmaId=424746" TargetMode="External"/><Relationship Id="rId11" Type="http://schemas.openxmlformats.org/officeDocument/2006/relationships/hyperlink" Target="http://baike.sogou.com/lemma/ShowInnerLink.htm?lemmaId=65039" TargetMode="External"/><Relationship Id="rId24" Type="http://schemas.openxmlformats.org/officeDocument/2006/relationships/hyperlink" Target="http://baike.sogou.com/lemma/ShowInnerLink.htm?lemmaId=787336" TargetMode="External"/><Relationship Id="rId32" Type="http://schemas.openxmlformats.org/officeDocument/2006/relationships/hyperlink" Target="http://baike.sogou.com/lemma/ShowInnerLink.htm?lemmaId=318572" TargetMode="External"/><Relationship Id="rId37" Type="http://schemas.openxmlformats.org/officeDocument/2006/relationships/hyperlink" Target="http://baike.sogou.com/lemma/ShowInnerLink.htm?lemmaId=52294" TargetMode="External"/><Relationship Id="rId40" Type="http://schemas.openxmlformats.org/officeDocument/2006/relationships/hyperlink" Target="http://baike.sogou.com/lemma/ShowInnerLink.htm?lemmaId=7691414" TargetMode="External"/><Relationship Id="rId5" Type="http://schemas.openxmlformats.org/officeDocument/2006/relationships/hyperlink" Target="http://baike.sogou.com/lemma/ShowInnerLink.htm?lemmaId=5097181" TargetMode="External"/><Relationship Id="rId15" Type="http://schemas.openxmlformats.org/officeDocument/2006/relationships/hyperlink" Target="http://baike.sogou.com/lemma/ShowInnerLink.htm?lemmaId=7676578" TargetMode="External"/><Relationship Id="rId23" Type="http://schemas.openxmlformats.org/officeDocument/2006/relationships/hyperlink" Target="http://baike.sogou.com/lemma/ShowInnerLink.htm?lemmaId=7693002" TargetMode="External"/><Relationship Id="rId28" Type="http://schemas.openxmlformats.org/officeDocument/2006/relationships/hyperlink" Target="http://baike.sogou.com/lemma/ShowInnerLink.htm?lemmaId=269674" TargetMode="External"/><Relationship Id="rId36" Type="http://schemas.openxmlformats.org/officeDocument/2006/relationships/hyperlink" Target="http://baike.sogou.com/lemma/ShowInnerLink.htm?lemmaId=141968" TargetMode="External"/><Relationship Id="rId10" Type="http://schemas.openxmlformats.org/officeDocument/2006/relationships/hyperlink" Target="http://baike.sogou.com/lemma/ShowInnerLink.htm?lemmaId=722914" TargetMode="External"/><Relationship Id="rId19" Type="http://schemas.openxmlformats.org/officeDocument/2006/relationships/hyperlink" Target="http://baike.sogou.com/lemma/ShowInnerLink.htm?lemmaId=5233605" TargetMode="External"/><Relationship Id="rId31" Type="http://schemas.openxmlformats.org/officeDocument/2006/relationships/hyperlink" Target="http://baike.sogou.com/lemma/ShowInnerLink.htm?lemmaId=6438698" TargetMode="External"/><Relationship Id="rId4" Type="http://schemas.openxmlformats.org/officeDocument/2006/relationships/hyperlink" Target="http://baike.sogou.com/lemma/ShowInnerLink.htm?lemmaId=280736" TargetMode="External"/><Relationship Id="rId9" Type="http://schemas.openxmlformats.org/officeDocument/2006/relationships/hyperlink" Target="http://baike.sogou.com/lemma/ShowInnerLink.htm?lemmaId=64469321" TargetMode="External"/><Relationship Id="rId14" Type="http://schemas.openxmlformats.org/officeDocument/2006/relationships/hyperlink" Target="http://baike.sogou.com/lemma/ShowInnerLink.htm?lemmaId=456571" TargetMode="External"/><Relationship Id="rId22" Type="http://schemas.openxmlformats.org/officeDocument/2006/relationships/hyperlink" Target="http://baike.sogou.com/lemma/ShowInnerLink.htm?lemmaId=289275" TargetMode="External"/><Relationship Id="rId27" Type="http://schemas.openxmlformats.org/officeDocument/2006/relationships/hyperlink" Target="http://baike.sogou.com/lemma/ShowInnerLink.htm?lemmaId=680730" TargetMode="External"/><Relationship Id="rId30" Type="http://schemas.openxmlformats.org/officeDocument/2006/relationships/hyperlink" Target="http://baike.sogou.com/lemma/ShowInnerLink.htm?lemmaId=680750" TargetMode="External"/><Relationship Id="rId35" Type="http://schemas.openxmlformats.org/officeDocument/2006/relationships/hyperlink" Target="http://baike.sogou.com/lemma/ShowInnerLink.htm?lemmaId=2184822" TargetMode="External"/><Relationship Id="rId43"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1060</Words>
  <Characters>6042</Characters>
  <Application>Microsoft Office Word</Application>
  <DocSecurity>0</DocSecurity>
  <Lines>50</Lines>
  <Paragraphs>14</Paragraphs>
  <ScaleCrop>false</ScaleCrop>
  <Company/>
  <LinksUpToDate>false</LinksUpToDate>
  <CharactersWithSpaces>7088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2016-10-24T06:15:00Z</dcterms:created>
  <dcterms:modified xsi:type="dcterms:W3CDTF">2016-10-24T06:18:00Z</dcterms:modified>
</cp:coreProperties>
</file>