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65" w:lineRule="atLeast"/>
        <w:jc w:val="left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附件</w:t>
      </w:r>
      <w:r>
        <w:rPr>
          <w:rFonts w:ascii="仿宋_GB2312" w:eastAsia="仿宋_GB2312" w:cs="仿宋_GB2312"/>
          <w:sz w:val="31"/>
          <w:szCs w:val="31"/>
          <w:bdr w:val="none" w:color="auto" w:sz="0" w:space="0"/>
        </w:rPr>
        <w:t>1</w:t>
      </w: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：</w:t>
      </w:r>
      <w:r>
        <w:rPr>
          <w:rFonts w:ascii="黑体" w:hAnsi="宋体" w:eastAsia="黑体" w:cs="黑体"/>
          <w:sz w:val="30"/>
          <w:szCs w:val="30"/>
          <w:bdr w:val="none" w:color="auto" w:sz="0" w:space="0"/>
        </w:rPr>
        <w:t>日照市中心医院2017年招聘控制总量备案管理人员计划表</w:t>
      </w:r>
    </w:p>
    <w:tbl>
      <w:tblPr>
        <w:tblW w:w="955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980"/>
        <w:gridCol w:w="1439"/>
        <w:gridCol w:w="4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招聘职位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具体岗位</w:t>
            </w:r>
          </w:p>
        </w:tc>
        <w:tc>
          <w:tcPr>
            <w:tcW w:w="14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招聘数量（87）</w:t>
            </w:r>
          </w:p>
        </w:tc>
        <w:tc>
          <w:tcPr>
            <w:tcW w:w="4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学历、专业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</w:trPr>
        <w:tc>
          <w:tcPr>
            <w:tcW w:w="12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临床科室医师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口腔科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耳鼻喉科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泌尿外科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乳腺甲状腺科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骨外科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呼吸内科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普外科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肛肠科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小儿外科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胸外科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神经外科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心内科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妇科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产科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儿科（含新生儿科）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监护室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感染性疾病科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康复医学科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肿瘤内科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肾病风湿免疫科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内分泌科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血液净化科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急诊科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905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  临床医学（外科2名、内科1名）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皮肤科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905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2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医技科室医师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超声科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医学影像学（适合男性）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放疗科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影像科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检验科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医学检验学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功能检查科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病理科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  临床医学或病理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高压氧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放射介入科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全日制本科及以上  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信息工程部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  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人力资源部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全日制硕士研究生及以上  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党群工作部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药剂科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  药学（临床药师）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后勤保障部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全日制本科及以上  电气工程（适合男性）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549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Administrator.USER-20170228EG</dc:creator>
  <cp:lastModifiedBy>Administrator</cp:lastModifiedBy>
  <dcterms:modified xsi:type="dcterms:W3CDTF">2017-06-15T09:53:41Z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