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招聘岗位及要求</w:t>
      </w:r>
    </w:p>
    <w:tbl>
      <w:tblPr>
        <w:tblW w:w="8301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924"/>
        <w:gridCol w:w="749"/>
        <w:gridCol w:w="2333"/>
        <w:gridCol w:w="1423"/>
        <w:gridCol w:w="1126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代码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2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15"/>
              <w:jc w:val="both"/>
            </w:pPr>
            <w:r>
              <w:rPr>
                <w:bdr w:val="none" w:color="auto" w:sz="0" w:space="0"/>
              </w:rPr>
              <w:t>其他要求</w:t>
            </w:r>
          </w:p>
        </w:tc>
        <w:tc>
          <w:tcPr>
            <w:tcW w:w="1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分子药理学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药理学 、药物分析学、 生药学、细胞生物学、   生物化学与分子生物学、 遗传学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研究生学历、硕士及以上学位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bdr w:val="none" w:color="auto" w:sz="0" w:space="0"/>
              </w:rPr>
              <w:t> 2015、2016、2017届全日制普通高等院校毕业生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药理学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bdr w:val="none" w:color="auto" w:sz="0" w:space="0"/>
              </w:rPr>
              <w:t>中药学、药物化学、     药理学、药物分析学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研究生学历、硕士及以上学位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bdr w:val="none" w:color="auto" w:sz="0" w:space="0"/>
              </w:rPr>
              <w:t>中药学、药物化学、     药理学、药物分析学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研究生学历、硕士及以上学位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bdr w:val="none" w:color="auto" w:sz="0" w:space="0"/>
              </w:rPr>
              <w:t>药物分析学、中药学、   生药学、药理学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研究生学历、硕士及以上学位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药理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bdr w:val="none" w:color="auto" w:sz="0" w:space="0"/>
              </w:rPr>
              <w:t>药物分析学、中药学、    生药学、药理学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研究生学历、硕士及以上学位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bdr w:val="none" w:color="auto" w:sz="0" w:space="0"/>
              </w:rPr>
              <w:t>植物学 、动物学 、     遗传学、预防兽医学 、  基础兽医学、临床兽医学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研究生学历、硕士及以上学位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bdr w:val="none" w:color="auto" w:sz="0" w:space="0"/>
              </w:rPr>
              <w:t>免疫学 、病原生物学、 病理学与病理生理学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研究生学历、硕士及以上学位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干细胞研究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bdr w:val="none" w:color="auto" w:sz="0" w:space="0"/>
              </w:rPr>
              <w:t>细胞生物学 、微生物学、生物化学与分子生物学、免疫学 、病原生物学、 病理学与病理生理学、   肿瘤学、临床检验诊断学、内科学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研究生学历、硕士及以上学位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办公室办事员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bdr w:val="none" w:color="auto" w:sz="0" w:space="0"/>
              </w:rPr>
              <w:t>公共事业管理（卫生管理方向，或医药卫生系、院、校所设公共管理相关专业），社会医学与卫生事业管理、卫生信息管理、公共卫生管理、公共卫生硕士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bdr w:val="none" w:color="auto" w:sz="0" w:space="0"/>
              </w:rPr>
              <w:t>1.2015、2016、2017届全日制普通高等院校毕业生；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bdr w:val="none" w:color="auto" w:sz="0" w:space="0"/>
              </w:rPr>
              <w:t>2.中共党员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bdr w:val="none" w:color="auto" w:sz="0" w:space="0"/>
              </w:rPr>
              <w:t>该岗位需从事人事、党务工作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D64C3"/>
    <w:rsid w:val="2DED6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2017-05-25T06:16:00Z</dcterms:created>
  <dc:creator>ASUS</dc:creator>
  <cp:lastModifiedBy>ASUS</cp:lastModifiedBy>
  <dcterms:modified xsi:type="dcterms:W3CDTF">2017-05-25T06:16:48Z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